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240" w:type="dxa"/>
        <w:jc w:val="center"/>
        <w:tblLayout w:type="fixed"/>
        <w:tblLook w:val="04A0" w:firstRow="1" w:lastRow="0" w:firstColumn="1" w:lastColumn="0" w:noHBand="0" w:noVBand="1"/>
      </w:tblPr>
      <w:tblGrid>
        <w:gridCol w:w="2227"/>
        <w:gridCol w:w="576"/>
        <w:gridCol w:w="437"/>
        <w:gridCol w:w="62"/>
        <w:gridCol w:w="345"/>
        <w:gridCol w:w="450"/>
        <w:gridCol w:w="347"/>
        <w:gridCol w:w="384"/>
        <w:gridCol w:w="69"/>
        <w:gridCol w:w="353"/>
        <w:gridCol w:w="28"/>
        <w:gridCol w:w="450"/>
        <w:gridCol w:w="345"/>
        <w:gridCol w:w="453"/>
        <w:gridCol w:w="374"/>
        <w:gridCol w:w="78"/>
        <w:gridCol w:w="372"/>
        <w:gridCol w:w="80"/>
        <w:gridCol w:w="453"/>
        <w:gridCol w:w="345"/>
        <w:gridCol w:w="662"/>
        <w:gridCol w:w="350"/>
      </w:tblGrid>
      <w:tr w:rsidR="004C48D7" w:rsidRPr="009F3EE8" w14:paraId="5A12EF5A" w14:textId="77777777" w:rsidTr="096A86BC">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3859F2C1" w:rsidR="004C48D7" w:rsidRPr="009F3EE8" w:rsidRDefault="00973A02" w:rsidP="00973A02">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bidi="ar-BH"/>
              </w:rPr>
            </w:pPr>
            <w:r>
              <w:rPr>
                <w:b w:val="0"/>
                <w:bCs w:val="0"/>
                <w:lang w:bidi="ar-BH"/>
              </w:rPr>
              <w:t>ACC 211</w:t>
            </w:r>
          </w:p>
        </w:tc>
        <w:tc>
          <w:tcPr>
            <w:tcW w:w="1948" w:type="dxa"/>
            <w:gridSpan w:val="6"/>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2"/>
            <w:shd w:val="clear" w:color="auto" w:fill="auto"/>
            <w:vAlign w:val="center"/>
          </w:tcPr>
          <w:p w14:paraId="387E2309" w14:textId="65398F43" w:rsidR="004C48D7" w:rsidRPr="009F3EE8" w:rsidRDefault="00973A02" w:rsidP="00973A02">
            <w:pPr>
              <w:spacing w:line="276" w:lineRule="auto"/>
              <w:jc w:val="right"/>
              <w:cnfStyle w:val="100000000000" w:firstRow="1" w:lastRow="0" w:firstColumn="0" w:lastColumn="0" w:oddVBand="0" w:evenVBand="0" w:oddHBand="0" w:evenHBand="0" w:firstRowFirstColumn="0" w:firstRowLastColumn="0" w:lastRowFirstColumn="0" w:lastRowLastColumn="0"/>
              <w:rPr>
                <w:b w:val="0"/>
                <w:bCs w:val="0"/>
                <w:lang w:bidi="ar-BH"/>
              </w:rPr>
            </w:pPr>
            <w:r>
              <w:rPr>
                <w:b w:val="0"/>
                <w:bCs w:val="0"/>
                <w:lang w:bidi="ar-BH"/>
              </w:rPr>
              <w:t>Intermediate Accounting II</w:t>
            </w:r>
          </w:p>
        </w:tc>
      </w:tr>
      <w:tr w:rsidR="004C48D7" w:rsidRPr="009F3EE8" w14:paraId="63A9FD34"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3753CCB" w14:textId="7D581E8A" w:rsidR="004C48D7" w:rsidRPr="009F3EE8" w:rsidRDefault="004C48D7" w:rsidP="729237F4">
            <w:pPr>
              <w:bidi w:val="0"/>
              <w:spacing w:line="276" w:lineRule="auto"/>
              <w:rPr>
                <w:b w:val="0"/>
                <w:bCs w:val="0"/>
                <w:lang w:bidi="ar-BH"/>
              </w:rPr>
            </w:pPr>
          </w:p>
        </w:tc>
      </w:tr>
      <w:tr w:rsidR="004C48D7" w:rsidRPr="009F3EE8" w14:paraId="07719764"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0B639C58" w14:textId="5C27CFB1"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973A02">
              <w:rPr>
                <w:b w:val="0"/>
                <w:bCs w:val="0"/>
                <w:lang w:bidi="ar-BH"/>
              </w:rPr>
              <w:t>Accounting</w:t>
            </w:r>
          </w:p>
        </w:tc>
      </w:tr>
      <w:tr w:rsidR="004C48D7" w:rsidRPr="009F3EE8" w14:paraId="6E1B2FCA"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BC98C61" w14:textId="6F81F9E5"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973A02">
              <w:rPr>
                <w:b w:val="0"/>
                <w:bCs w:val="0"/>
                <w:lang w:bidi="ar-BH"/>
              </w:rPr>
              <w:t>B.Sc. in Accounting</w:t>
            </w:r>
          </w:p>
        </w:tc>
      </w:tr>
      <w:tr w:rsidR="004C48D7" w:rsidRPr="009F3EE8" w14:paraId="7A9A7607"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2AEED5F" w14:textId="5E78DF71" w:rsidR="004C48D7" w:rsidRPr="00E935E1" w:rsidRDefault="004C48D7" w:rsidP="729237F4">
            <w:pPr>
              <w:pStyle w:val="ListParagraph"/>
              <w:numPr>
                <w:ilvl w:val="0"/>
                <w:numId w:val="22"/>
              </w:numPr>
              <w:bidi w:val="0"/>
              <w:rPr>
                <w:lang w:bidi="ar-BH"/>
              </w:rPr>
            </w:pPr>
            <w:r w:rsidRPr="00E935E1">
              <w:rPr>
                <w:lang w:bidi="ar-BH"/>
              </w:rPr>
              <w:t>Course NQF Level</w:t>
            </w:r>
            <w:r w:rsidR="004F6749" w:rsidRPr="00E935E1">
              <w:rPr>
                <w:lang w:bidi="ar-BH"/>
              </w:rPr>
              <w:t>:</w:t>
            </w:r>
            <w:r w:rsidR="004F6749" w:rsidRPr="00E935E1">
              <w:rPr>
                <w:b w:val="0"/>
                <w:bCs w:val="0"/>
                <w:lang w:bidi="ar-BH"/>
              </w:rPr>
              <w:t xml:space="preserve"> 6-7-8</w:t>
            </w:r>
          </w:p>
        </w:tc>
      </w:tr>
      <w:tr w:rsidR="004C48D7" w:rsidRPr="009F3EE8" w14:paraId="1A65D436"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7A119C2" w14:textId="1A7ADE4E" w:rsidR="004C48D7" w:rsidRPr="00E935E1" w:rsidRDefault="004C48D7" w:rsidP="729237F4">
            <w:pPr>
              <w:pStyle w:val="ListParagraph"/>
              <w:numPr>
                <w:ilvl w:val="0"/>
                <w:numId w:val="22"/>
              </w:numPr>
              <w:bidi w:val="0"/>
              <w:rPr>
                <w:lang w:bidi="ar-BH"/>
              </w:rPr>
            </w:pPr>
            <w:r w:rsidRPr="00E935E1">
              <w:rPr>
                <w:lang w:bidi="ar-BH"/>
              </w:rPr>
              <w:t>NQF Credits</w:t>
            </w:r>
            <w:r w:rsidR="004F6749" w:rsidRPr="00E935E1">
              <w:rPr>
                <w:lang w:bidi="ar-BH"/>
              </w:rPr>
              <w:t>:</w:t>
            </w:r>
            <w:r w:rsidR="004F6749" w:rsidRPr="00E935E1">
              <w:rPr>
                <w:b w:val="0"/>
                <w:bCs w:val="0"/>
                <w:lang w:bidi="ar-BH"/>
              </w:rPr>
              <w:t xml:space="preserve"> TBA</w:t>
            </w:r>
          </w:p>
        </w:tc>
      </w:tr>
      <w:tr w:rsidR="004C48D7" w:rsidRPr="009F3EE8" w14:paraId="1DBE604B"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4F8ADFF3" w14:textId="45C32C29"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008D188A">
              <w:rPr>
                <w:b w:val="0"/>
                <w:bCs w:val="0"/>
                <w:lang w:bidi="ar-BH"/>
              </w:rPr>
              <w:t>ACC 113</w:t>
            </w:r>
            <w:r w:rsidR="1844C066" w:rsidRPr="729237F4">
              <w:rPr>
                <w:b w:val="0"/>
                <w:bCs w:val="0"/>
                <w:lang w:bidi="ar-BH"/>
              </w:rPr>
              <w:t xml:space="preserve"> </w:t>
            </w:r>
          </w:p>
        </w:tc>
      </w:tr>
      <w:tr w:rsidR="004C48D7" w:rsidRPr="009F3EE8" w14:paraId="0C8884B2" w14:textId="77777777" w:rsidTr="00E935E1">
        <w:trPr>
          <w:trHeight w:val="3622"/>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B7184AF" w14:textId="21E8B34F" w:rsidR="004C48D7" w:rsidRPr="008D188A" w:rsidRDefault="004C48D7" w:rsidP="729237F4">
            <w:pPr>
              <w:pStyle w:val="ListParagraph"/>
              <w:numPr>
                <w:ilvl w:val="0"/>
                <w:numId w:val="22"/>
              </w:numPr>
              <w:bidi w:val="0"/>
              <w:rPr>
                <w:b w:val="0"/>
                <w:bCs w:val="0"/>
                <w:lang w:bidi="ar-BH"/>
              </w:rPr>
            </w:pPr>
            <w:r w:rsidRPr="008D188A">
              <w:rPr>
                <w:lang w:bidi="ar-BH"/>
              </w:rPr>
              <w:t>Lectures Timing &amp; Location:</w:t>
            </w:r>
            <w:r w:rsidR="008D188A">
              <w:rPr>
                <w:b w:val="0"/>
                <w:bCs w:val="0"/>
                <w:lang w:bidi="ar-BH"/>
              </w:rPr>
              <w:t xml:space="preserve"> Virtual teaching</w:t>
            </w:r>
          </w:p>
          <w:p w14:paraId="7733ADA5" w14:textId="2B573FEE" w:rsidR="008D188A" w:rsidRDefault="008D188A" w:rsidP="008D188A">
            <w:pPr>
              <w:pStyle w:val="ListParagraph"/>
              <w:bidi w:val="0"/>
              <w:ind w:left="471"/>
              <w:rPr>
                <w:lang w:bidi="ar-BH"/>
              </w:rPr>
            </w:pPr>
            <w:r>
              <w:rPr>
                <w:lang w:bidi="ar-BH"/>
              </w:rPr>
              <w:t>Sec.</w:t>
            </w:r>
            <w:r>
              <w:rPr>
                <w:b w:val="0"/>
                <w:bCs w:val="0"/>
                <w:lang w:bidi="ar-BH"/>
              </w:rPr>
              <w:t xml:space="preserve"> </w:t>
            </w:r>
            <w:r w:rsidRPr="00CA1CEB">
              <w:rPr>
                <w:lang w:bidi="ar-BH"/>
              </w:rPr>
              <w:t>(1):</w:t>
            </w:r>
            <w:r>
              <w:rPr>
                <w:b w:val="0"/>
                <w:bCs w:val="0"/>
                <w:lang w:bidi="ar-BH"/>
              </w:rPr>
              <w:t xml:space="preserve"> U (8:00 – 9:40), H (8:00 – 8:50)</w:t>
            </w:r>
          </w:p>
          <w:p w14:paraId="4D3C57CA" w14:textId="674CF0B7" w:rsidR="008D188A" w:rsidRDefault="008D188A" w:rsidP="008D188A">
            <w:pPr>
              <w:pStyle w:val="ListParagraph"/>
              <w:bidi w:val="0"/>
              <w:ind w:left="471"/>
              <w:rPr>
                <w:lang w:bidi="ar-BH"/>
              </w:rPr>
            </w:pPr>
            <w:r>
              <w:rPr>
                <w:lang w:bidi="ar-BH"/>
              </w:rPr>
              <w:t>Sec.</w:t>
            </w:r>
            <w:r>
              <w:rPr>
                <w:b w:val="0"/>
                <w:bCs w:val="0"/>
                <w:lang w:bidi="ar-BH"/>
              </w:rPr>
              <w:t xml:space="preserve"> </w:t>
            </w:r>
            <w:r w:rsidRPr="00CA1CEB">
              <w:rPr>
                <w:lang w:bidi="ar-BH"/>
              </w:rPr>
              <w:t>(2):</w:t>
            </w:r>
            <w:r>
              <w:rPr>
                <w:b w:val="0"/>
                <w:bCs w:val="0"/>
                <w:lang w:bidi="ar-BH"/>
              </w:rPr>
              <w:t xml:space="preserve"> U (8:00 – 9:40), H (10:00 – 10:50)</w:t>
            </w:r>
          </w:p>
          <w:p w14:paraId="0DBB8D1A" w14:textId="261EF858" w:rsidR="008D188A" w:rsidRDefault="008D188A" w:rsidP="008D188A">
            <w:pPr>
              <w:pStyle w:val="ListParagraph"/>
              <w:bidi w:val="0"/>
              <w:ind w:left="471"/>
              <w:rPr>
                <w:lang w:bidi="ar-BH"/>
              </w:rPr>
            </w:pPr>
            <w:r>
              <w:rPr>
                <w:lang w:bidi="ar-BH"/>
              </w:rPr>
              <w:t>Sec.</w:t>
            </w:r>
            <w:r>
              <w:rPr>
                <w:b w:val="0"/>
                <w:bCs w:val="0"/>
                <w:lang w:bidi="ar-BH"/>
              </w:rPr>
              <w:t xml:space="preserve"> </w:t>
            </w:r>
            <w:r w:rsidRPr="00CA1CEB">
              <w:rPr>
                <w:lang w:bidi="ar-BH"/>
              </w:rPr>
              <w:t>(3):</w:t>
            </w:r>
            <w:r>
              <w:rPr>
                <w:b w:val="0"/>
                <w:bCs w:val="0"/>
                <w:lang w:bidi="ar-BH"/>
              </w:rPr>
              <w:t xml:space="preserve"> M (8:00 – 9:40), W (8:00 – 8:50)</w:t>
            </w:r>
          </w:p>
          <w:p w14:paraId="0D2A0557" w14:textId="55EBA93B" w:rsidR="008D188A" w:rsidRDefault="008D188A" w:rsidP="008D188A">
            <w:pPr>
              <w:pStyle w:val="ListParagraph"/>
              <w:bidi w:val="0"/>
              <w:ind w:left="471"/>
              <w:rPr>
                <w:lang w:bidi="ar-BH"/>
              </w:rPr>
            </w:pPr>
            <w:r>
              <w:rPr>
                <w:lang w:bidi="ar-BH"/>
              </w:rPr>
              <w:t>Sec.</w:t>
            </w:r>
            <w:r>
              <w:rPr>
                <w:b w:val="0"/>
                <w:bCs w:val="0"/>
                <w:lang w:bidi="ar-BH"/>
              </w:rPr>
              <w:t xml:space="preserve"> </w:t>
            </w:r>
            <w:r w:rsidRPr="00CA1CEB">
              <w:rPr>
                <w:lang w:bidi="ar-BH"/>
              </w:rPr>
              <w:t>(4):</w:t>
            </w:r>
            <w:r>
              <w:rPr>
                <w:b w:val="0"/>
                <w:bCs w:val="0"/>
                <w:lang w:bidi="ar-BH"/>
              </w:rPr>
              <w:t xml:space="preserve"> </w:t>
            </w:r>
            <w:r w:rsidR="005B449C">
              <w:rPr>
                <w:b w:val="0"/>
                <w:bCs w:val="0"/>
                <w:lang w:bidi="ar-BH"/>
              </w:rPr>
              <w:t>M (8:00 – 9:40), W (10:00 – 10:50)</w:t>
            </w:r>
          </w:p>
          <w:p w14:paraId="4CC82D46" w14:textId="140C6C87" w:rsidR="005B449C" w:rsidRDefault="005B449C" w:rsidP="005B449C">
            <w:pPr>
              <w:pStyle w:val="ListParagraph"/>
              <w:bidi w:val="0"/>
              <w:ind w:left="471"/>
              <w:rPr>
                <w:lang w:bidi="ar-BH"/>
              </w:rPr>
            </w:pPr>
            <w:r>
              <w:rPr>
                <w:lang w:bidi="ar-BH"/>
              </w:rPr>
              <w:t>Sec.</w:t>
            </w:r>
            <w:r>
              <w:rPr>
                <w:b w:val="0"/>
                <w:bCs w:val="0"/>
                <w:lang w:bidi="ar-BH"/>
              </w:rPr>
              <w:t xml:space="preserve"> </w:t>
            </w:r>
            <w:r w:rsidRPr="00CA1CEB">
              <w:rPr>
                <w:lang w:bidi="ar-BH"/>
              </w:rPr>
              <w:t>(5):</w:t>
            </w:r>
            <w:r>
              <w:rPr>
                <w:b w:val="0"/>
                <w:bCs w:val="0"/>
                <w:lang w:bidi="ar-BH"/>
              </w:rPr>
              <w:t xml:space="preserve"> M (10:00 – 11:40), W (9:00 – 9:50)</w:t>
            </w:r>
          </w:p>
          <w:p w14:paraId="3BAC2E6A" w14:textId="3A8C1A34" w:rsidR="005B449C" w:rsidRDefault="005B449C" w:rsidP="005B449C">
            <w:pPr>
              <w:pStyle w:val="ListParagraph"/>
              <w:bidi w:val="0"/>
              <w:ind w:left="471"/>
              <w:rPr>
                <w:lang w:bidi="ar-BH"/>
              </w:rPr>
            </w:pPr>
            <w:r>
              <w:rPr>
                <w:lang w:bidi="ar-BH"/>
              </w:rPr>
              <w:t>Sec.</w:t>
            </w:r>
            <w:r>
              <w:rPr>
                <w:b w:val="0"/>
                <w:bCs w:val="0"/>
                <w:lang w:bidi="ar-BH"/>
              </w:rPr>
              <w:t xml:space="preserve"> </w:t>
            </w:r>
            <w:r w:rsidRPr="00CA1CEB">
              <w:rPr>
                <w:lang w:bidi="ar-BH"/>
              </w:rPr>
              <w:t>(6):</w:t>
            </w:r>
            <w:r>
              <w:rPr>
                <w:b w:val="0"/>
                <w:bCs w:val="0"/>
                <w:lang w:bidi="ar-BH"/>
              </w:rPr>
              <w:t xml:space="preserve"> M (10:00 – 11:40), W (11:00 – 11:50)</w:t>
            </w:r>
          </w:p>
          <w:p w14:paraId="2BD605BA" w14:textId="00966755" w:rsidR="005B449C" w:rsidRDefault="005B449C" w:rsidP="005B449C">
            <w:pPr>
              <w:pStyle w:val="ListParagraph"/>
              <w:bidi w:val="0"/>
              <w:ind w:left="471"/>
              <w:rPr>
                <w:lang w:bidi="ar-BH"/>
              </w:rPr>
            </w:pPr>
            <w:r>
              <w:rPr>
                <w:lang w:bidi="ar-BH"/>
              </w:rPr>
              <w:t>Sec.</w:t>
            </w:r>
            <w:r>
              <w:rPr>
                <w:b w:val="0"/>
                <w:bCs w:val="0"/>
                <w:lang w:bidi="ar-BH"/>
              </w:rPr>
              <w:t xml:space="preserve"> </w:t>
            </w:r>
            <w:r w:rsidRPr="00CA1CEB">
              <w:rPr>
                <w:lang w:bidi="ar-BH"/>
              </w:rPr>
              <w:t>(7):</w:t>
            </w:r>
            <w:r>
              <w:rPr>
                <w:b w:val="0"/>
                <w:bCs w:val="0"/>
                <w:lang w:bidi="ar-BH"/>
              </w:rPr>
              <w:t xml:space="preserve"> </w:t>
            </w:r>
            <w:r w:rsidR="00B91935">
              <w:rPr>
                <w:b w:val="0"/>
                <w:bCs w:val="0"/>
                <w:lang w:bidi="ar-BH"/>
              </w:rPr>
              <w:t>U (12:00 – 13:40), H (12:00 – 12:50)</w:t>
            </w:r>
          </w:p>
          <w:p w14:paraId="2506DEE1" w14:textId="15E6A069" w:rsidR="00B91935" w:rsidRDefault="00B91935" w:rsidP="00B91935">
            <w:pPr>
              <w:pStyle w:val="ListParagraph"/>
              <w:bidi w:val="0"/>
              <w:ind w:left="471"/>
              <w:rPr>
                <w:lang w:bidi="ar-BH"/>
              </w:rPr>
            </w:pPr>
            <w:r>
              <w:rPr>
                <w:lang w:bidi="ar-BH"/>
              </w:rPr>
              <w:t>Sec.</w:t>
            </w:r>
            <w:r>
              <w:rPr>
                <w:b w:val="0"/>
                <w:bCs w:val="0"/>
                <w:lang w:bidi="ar-BH"/>
              </w:rPr>
              <w:t xml:space="preserve"> </w:t>
            </w:r>
            <w:r w:rsidRPr="00CA1CEB">
              <w:rPr>
                <w:lang w:bidi="ar-BH"/>
              </w:rPr>
              <w:t>(8):</w:t>
            </w:r>
            <w:r>
              <w:rPr>
                <w:b w:val="0"/>
                <w:bCs w:val="0"/>
                <w:lang w:bidi="ar-BH"/>
              </w:rPr>
              <w:t xml:space="preserve"> U (12:00 – 13:40), H (14:00 – 14:50)</w:t>
            </w:r>
          </w:p>
          <w:p w14:paraId="4BA49B9C" w14:textId="56452B38" w:rsidR="00B91935" w:rsidRDefault="00B91935" w:rsidP="00B91935">
            <w:pPr>
              <w:pStyle w:val="ListParagraph"/>
              <w:bidi w:val="0"/>
              <w:ind w:left="471"/>
              <w:rPr>
                <w:lang w:bidi="ar-BH"/>
              </w:rPr>
            </w:pPr>
            <w:r>
              <w:rPr>
                <w:lang w:bidi="ar-BH"/>
              </w:rPr>
              <w:t>Sec.</w:t>
            </w:r>
            <w:r>
              <w:rPr>
                <w:b w:val="0"/>
                <w:bCs w:val="0"/>
                <w:lang w:bidi="ar-BH"/>
              </w:rPr>
              <w:t xml:space="preserve"> </w:t>
            </w:r>
            <w:r w:rsidRPr="00CA1CEB">
              <w:rPr>
                <w:lang w:bidi="ar-BH"/>
              </w:rPr>
              <w:t>(9):</w:t>
            </w:r>
            <w:r>
              <w:rPr>
                <w:b w:val="0"/>
                <w:bCs w:val="0"/>
                <w:lang w:bidi="ar-BH"/>
              </w:rPr>
              <w:t xml:space="preserve"> U (14:00 – 15:40), </w:t>
            </w:r>
            <w:r w:rsidR="00CA1CEB">
              <w:rPr>
                <w:b w:val="0"/>
                <w:bCs w:val="0"/>
                <w:lang w:bidi="ar-BH"/>
              </w:rPr>
              <w:t>H (13:00 – 13:50)</w:t>
            </w:r>
          </w:p>
          <w:p w14:paraId="3697F3D0" w14:textId="7ED3458E" w:rsidR="00CA1CEB" w:rsidRDefault="00CA1CEB" w:rsidP="00CA1CEB">
            <w:pPr>
              <w:pStyle w:val="ListParagraph"/>
              <w:bidi w:val="0"/>
              <w:ind w:left="471"/>
              <w:rPr>
                <w:lang w:bidi="ar-BH"/>
              </w:rPr>
            </w:pPr>
            <w:r>
              <w:rPr>
                <w:lang w:bidi="ar-BH"/>
              </w:rPr>
              <w:t>Sec.</w:t>
            </w:r>
            <w:r>
              <w:rPr>
                <w:b w:val="0"/>
                <w:bCs w:val="0"/>
                <w:lang w:bidi="ar-BH"/>
              </w:rPr>
              <w:t xml:space="preserve"> </w:t>
            </w:r>
            <w:r w:rsidRPr="00CA1CEB">
              <w:rPr>
                <w:lang w:bidi="ar-BH"/>
              </w:rPr>
              <w:t>(10):</w:t>
            </w:r>
            <w:r>
              <w:rPr>
                <w:b w:val="0"/>
                <w:bCs w:val="0"/>
                <w:lang w:bidi="ar-BH"/>
              </w:rPr>
              <w:t xml:space="preserve"> U (14:00 – 15:40), H (15:00 – 15:50)</w:t>
            </w:r>
          </w:p>
          <w:p w14:paraId="0A2055DF" w14:textId="2B0B6279" w:rsidR="00CA1CEB" w:rsidRDefault="00CA1CEB" w:rsidP="00CA1CEB">
            <w:pPr>
              <w:pStyle w:val="ListParagraph"/>
              <w:bidi w:val="0"/>
              <w:ind w:left="471"/>
              <w:rPr>
                <w:lang w:bidi="ar-BH"/>
              </w:rPr>
            </w:pPr>
            <w:r>
              <w:rPr>
                <w:lang w:bidi="ar-BH"/>
              </w:rPr>
              <w:t>Sec.</w:t>
            </w:r>
            <w:r>
              <w:rPr>
                <w:b w:val="0"/>
                <w:bCs w:val="0"/>
                <w:lang w:bidi="ar-BH"/>
              </w:rPr>
              <w:t xml:space="preserve"> </w:t>
            </w:r>
            <w:r w:rsidRPr="00CA1CEB">
              <w:rPr>
                <w:lang w:bidi="ar-BH"/>
              </w:rPr>
              <w:t>(11):</w:t>
            </w:r>
            <w:r>
              <w:rPr>
                <w:b w:val="0"/>
                <w:bCs w:val="0"/>
                <w:lang w:bidi="ar-BH"/>
              </w:rPr>
              <w:t xml:space="preserve"> M (12:00 – 13:40), W (12:00 – 12:50)</w:t>
            </w:r>
          </w:p>
          <w:p w14:paraId="03362380" w14:textId="49B282FF" w:rsidR="34F5614D" w:rsidRDefault="00CA1CEB" w:rsidP="00CA1CEB">
            <w:pPr>
              <w:pStyle w:val="ListParagraph"/>
              <w:bidi w:val="0"/>
              <w:ind w:left="471"/>
              <w:rPr>
                <w:rFonts w:eastAsiaTheme="minorEastAsia"/>
                <w:b w:val="0"/>
                <w:bCs w:val="0"/>
              </w:rPr>
            </w:pPr>
            <w:r>
              <w:rPr>
                <w:lang w:bidi="ar-BH"/>
              </w:rPr>
              <w:t>Sec</w:t>
            </w:r>
            <w:r w:rsidRPr="00CA1CEB">
              <w:rPr>
                <w:lang w:bidi="ar-BH"/>
              </w:rPr>
              <w:t>. (12):</w:t>
            </w:r>
            <w:r>
              <w:rPr>
                <w:b w:val="0"/>
                <w:bCs w:val="0"/>
                <w:lang w:bidi="ar-BH"/>
              </w:rPr>
              <w:t xml:space="preserve"> M (12:00 – 13:40), W (14:00 – 14:50)</w:t>
            </w:r>
            <w:r w:rsidR="34F5614D" w:rsidRPr="729237F4">
              <w:rPr>
                <w:rFonts w:eastAsia="Calibri"/>
                <w:b w:val="0"/>
                <w:bCs w:val="0"/>
              </w:rPr>
              <w:t xml:space="preserve">                                                </w:t>
            </w:r>
            <w:r w:rsidR="34F5614D" w:rsidRPr="729237F4">
              <w:rPr>
                <w:rFonts w:eastAsiaTheme="minorEastAsia"/>
                <w:b w:val="0"/>
                <w:bCs w:val="0"/>
              </w:rPr>
              <w:t xml:space="preserve"> </w:t>
            </w:r>
          </w:p>
          <w:p w14:paraId="2B80F01E" w14:textId="50588704" w:rsidR="004C48D7" w:rsidRPr="009F3EE8" w:rsidRDefault="34F5614D" w:rsidP="00CA1CEB">
            <w:pPr>
              <w:spacing w:after="200" w:line="276" w:lineRule="auto"/>
              <w:rPr>
                <w:rFonts w:eastAsia="Calibri" w:cstheme="minorHAnsi"/>
                <w:b w:val="0"/>
                <w:bCs w:val="0"/>
              </w:rPr>
            </w:pPr>
            <w:r w:rsidRPr="729237F4">
              <w:rPr>
                <w:rFonts w:eastAsia="Calibri"/>
                <w:b w:val="0"/>
                <w:bCs w:val="0"/>
              </w:rPr>
              <w:t xml:space="preserve">                                                                  </w:t>
            </w:r>
          </w:p>
        </w:tc>
      </w:tr>
      <w:tr w:rsidR="004C48D7" w:rsidRPr="009F3EE8" w14:paraId="6D241C2C"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6C575350" w14:textId="34443D40" w:rsidR="004C48D7" w:rsidRPr="00CA1CEB" w:rsidRDefault="004C48D7" w:rsidP="729237F4">
            <w:pPr>
              <w:pStyle w:val="ListParagraph"/>
              <w:numPr>
                <w:ilvl w:val="0"/>
                <w:numId w:val="22"/>
              </w:numPr>
              <w:bidi w:val="0"/>
              <w:rPr>
                <w:lang w:bidi="ar-BH"/>
              </w:rPr>
            </w:pPr>
            <w:r w:rsidRPr="00CA1CEB">
              <w:rPr>
                <w:lang w:bidi="ar-BH"/>
              </w:rPr>
              <w:t>Course web page:</w:t>
            </w:r>
          </w:p>
        </w:tc>
      </w:tr>
      <w:tr w:rsidR="004C48D7" w:rsidRPr="009F3EE8" w14:paraId="13056E06"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D59A46B" w14:textId="1CE42313" w:rsidR="004C48D7" w:rsidRPr="00CA1CEB" w:rsidRDefault="004C48D7" w:rsidP="3A28977C">
            <w:pPr>
              <w:pStyle w:val="ListParagraph"/>
              <w:numPr>
                <w:ilvl w:val="0"/>
                <w:numId w:val="22"/>
              </w:numPr>
              <w:bidi w:val="0"/>
              <w:rPr>
                <w:lang w:bidi="ar-BH"/>
              </w:rPr>
            </w:pPr>
            <w:r w:rsidRPr="00CA1CEB">
              <w:rPr>
                <w:lang w:bidi="ar-BH"/>
              </w:rPr>
              <w:t>Course Instructor:</w:t>
            </w:r>
            <w:r w:rsidR="0F33F4C1" w:rsidRPr="00CA1CEB">
              <w:rPr>
                <w:lang w:bidi="ar-BH"/>
              </w:rPr>
              <w:t xml:space="preserve"> </w:t>
            </w:r>
          </w:p>
        </w:tc>
      </w:tr>
      <w:tr w:rsidR="004C48D7" w:rsidRPr="009F3EE8" w14:paraId="75A52474"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525A84CA" w14:textId="28C4022D" w:rsidR="004C48D7" w:rsidRPr="009F3EE8" w:rsidRDefault="004C48D7" w:rsidP="729237F4">
            <w:pPr>
              <w:pStyle w:val="ListParagraph"/>
              <w:numPr>
                <w:ilvl w:val="0"/>
                <w:numId w:val="22"/>
              </w:numPr>
              <w:bidi w:val="0"/>
              <w:rPr>
                <w:rFonts w:eastAsiaTheme="majorBidi"/>
                <w:b w:val="0"/>
                <w:bCs w:val="0"/>
                <w:lang w:bidi="ar-BH"/>
              </w:rPr>
            </w:pPr>
            <w:r w:rsidRPr="00CA1CEB">
              <w:rPr>
                <w:lang w:bidi="ar-BH"/>
              </w:rPr>
              <w:t>Office Hours and Location:</w:t>
            </w:r>
            <w:r w:rsidR="004F6749" w:rsidRPr="729237F4">
              <w:rPr>
                <w:b w:val="0"/>
                <w:bCs w:val="0"/>
                <w:lang w:bidi="ar-BH"/>
              </w:rPr>
              <w:t xml:space="preserve"> </w:t>
            </w:r>
            <w:r w:rsidR="7A66D815" w:rsidRPr="729237F4">
              <w:rPr>
                <w:b w:val="0"/>
                <w:bCs w:val="0"/>
                <w:lang w:bidi="ar-BH"/>
              </w:rPr>
              <w:t xml:space="preserve">  </w:t>
            </w:r>
            <w:r w:rsidR="00CA1CEB">
              <w:rPr>
                <w:b w:val="0"/>
                <w:bCs w:val="0"/>
                <w:lang w:bidi="ar-BH"/>
              </w:rPr>
              <w:t>Virtual communication</w:t>
            </w:r>
          </w:p>
        </w:tc>
      </w:tr>
      <w:tr w:rsidR="004C48D7" w:rsidRPr="009F3EE8" w14:paraId="1B6BDC7C"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5B7465A2" w14:textId="130FF324" w:rsidR="004C48D7" w:rsidRPr="009F3EE8" w:rsidRDefault="004C48D7" w:rsidP="729237F4">
            <w:pPr>
              <w:pStyle w:val="ListParagraph"/>
              <w:numPr>
                <w:ilvl w:val="0"/>
                <w:numId w:val="22"/>
              </w:numPr>
              <w:bidi w:val="0"/>
              <w:rPr>
                <w:b w:val="0"/>
                <w:bCs w:val="0"/>
                <w:lang w:bidi="ar-BH"/>
              </w:rPr>
            </w:pPr>
            <w:r w:rsidRPr="00987900">
              <w:rPr>
                <w:lang w:bidi="ar-BH"/>
              </w:rPr>
              <w:lastRenderedPageBreak/>
              <w:t>Course coordinator:</w:t>
            </w:r>
            <w:r w:rsidR="004F6749" w:rsidRPr="729237F4">
              <w:rPr>
                <w:b w:val="0"/>
                <w:bCs w:val="0"/>
                <w:lang w:bidi="ar-BH"/>
              </w:rPr>
              <w:t xml:space="preserve"> </w:t>
            </w:r>
            <w:r w:rsidR="006F5CCE">
              <w:rPr>
                <w:b w:val="0"/>
                <w:bCs w:val="0"/>
                <w:lang w:bidi="ar-BH"/>
              </w:rPr>
              <w:t>Dr. Noora Abdulrahman Ahmed Yusuf</w:t>
            </w:r>
          </w:p>
        </w:tc>
      </w:tr>
      <w:tr w:rsidR="004C48D7" w:rsidRPr="009F3EE8" w14:paraId="66F66E1A"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00987900">
              <w:rPr>
                <w:lang w:bidi="ar-BH"/>
              </w:rPr>
              <w:t>Academic year:</w:t>
            </w:r>
            <w:r w:rsidR="004F6749" w:rsidRPr="729237F4">
              <w:rPr>
                <w:b w:val="0"/>
                <w:bCs w:val="0"/>
                <w:lang w:bidi="ar-BH"/>
              </w:rPr>
              <w:t xml:space="preserve"> 2020-2021</w:t>
            </w:r>
          </w:p>
        </w:tc>
      </w:tr>
      <w:tr w:rsidR="004C48D7" w:rsidRPr="009F3EE8" w14:paraId="08E16053" w14:textId="77777777" w:rsidTr="096A86BC">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987900" w:rsidRDefault="004C48D7" w:rsidP="729237F4">
            <w:pPr>
              <w:pStyle w:val="ListParagraph"/>
              <w:numPr>
                <w:ilvl w:val="0"/>
                <w:numId w:val="22"/>
              </w:numPr>
              <w:bidi w:val="0"/>
              <w:rPr>
                <w:lang w:bidi="ar-BH"/>
              </w:rPr>
            </w:pPr>
            <w:r w:rsidRPr="00987900">
              <w:rPr>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88" w:type="dxa"/>
            <w:gridSpan w:val="5"/>
            <w:shd w:val="clear" w:color="auto" w:fill="auto"/>
            <w:vAlign w:val="center"/>
          </w:tcPr>
          <w:p w14:paraId="1EFEB466"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987900"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b/>
                <w:bCs/>
                <w:lang w:bidi="ar-BH"/>
              </w:rPr>
            </w:pPr>
            <w:r w:rsidRPr="00987900">
              <w:rPr>
                <w:rFonts w:cstheme="minorHAnsi"/>
                <w:b/>
                <w:bCs/>
                <w:lang w:bidi="ar-BH"/>
              </w:rPr>
              <w:t>X</w:t>
            </w:r>
          </w:p>
        </w:tc>
        <w:tc>
          <w:tcPr>
            <w:tcW w:w="1622" w:type="dxa"/>
            <w:gridSpan w:val="4"/>
            <w:shd w:val="clear" w:color="auto" w:fill="auto"/>
            <w:vAlign w:val="center"/>
          </w:tcPr>
          <w:p w14:paraId="49CF44DA"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96A86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7F1AA28F" w14:textId="46A205B3" w:rsidR="004C48D7" w:rsidRPr="00987900" w:rsidRDefault="004C48D7" w:rsidP="729237F4">
            <w:pPr>
              <w:pStyle w:val="ListParagraph"/>
              <w:numPr>
                <w:ilvl w:val="0"/>
                <w:numId w:val="22"/>
              </w:numPr>
              <w:bidi w:val="0"/>
            </w:pPr>
            <w:r w:rsidRPr="00987900">
              <w:rPr>
                <w:lang w:bidi="ar-BH"/>
              </w:rPr>
              <w:t>Textb</w:t>
            </w:r>
            <w:r w:rsidR="147AD05A" w:rsidRPr="00987900">
              <w:rPr>
                <w:lang w:bidi="ar-BH"/>
              </w:rPr>
              <w:t>ook</w:t>
            </w:r>
            <w:r w:rsidR="00987900" w:rsidRPr="00987900">
              <w:rPr>
                <w:lang w:bidi="ar-BH"/>
              </w:rPr>
              <w:t>:</w:t>
            </w:r>
            <w:r w:rsidR="10DE359E" w:rsidRPr="00987900">
              <w:t xml:space="preserve"> </w:t>
            </w:r>
          </w:p>
          <w:p w14:paraId="6B3BC7FE" w14:textId="62B056E7" w:rsidR="004C48D7" w:rsidRPr="00987900" w:rsidRDefault="00987900" w:rsidP="00987900">
            <w:pPr>
              <w:pStyle w:val="ListParagraph"/>
              <w:bidi w:val="0"/>
              <w:ind w:left="471"/>
              <w:rPr>
                <w:rFonts w:cstheme="minorHAnsi"/>
                <w:b w:val="0"/>
                <w:bCs w:val="0"/>
                <w:lang w:bidi="ar-BH"/>
              </w:rPr>
            </w:pPr>
            <w:proofErr w:type="spellStart"/>
            <w:r w:rsidRPr="00987900">
              <w:rPr>
                <w:b w:val="0"/>
                <w:bCs w:val="0"/>
                <w:lang w:bidi="ar-BH"/>
              </w:rPr>
              <w:t>Kieso</w:t>
            </w:r>
            <w:proofErr w:type="spellEnd"/>
            <w:r w:rsidRPr="00987900">
              <w:rPr>
                <w:b w:val="0"/>
                <w:bCs w:val="0"/>
                <w:lang w:bidi="ar-BH"/>
              </w:rPr>
              <w:t xml:space="preserve">, D., Weygandt, J., and Warfield, T. (2014). </w:t>
            </w:r>
            <w:r w:rsidRPr="00987900">
              <w:rPr>
                <w:b w:val="0"/>
                <w:bCs w:val="0"/>
                <w:i/>
                <w:iCs/>
                <w:lang w:bidi="ar-BH"/>
              </w:rPr>
              <w:t>Intermediate Accounting</w:t>
            </w:r>
            <w:r w:rsidRPr="00987900">
              <w:rPr>
                <w:b w:val="0"/>
                <w:bCs w:val="0"/>
                <w:lang w:bidi="ar-BH"/>
              </w:rPr>
              <w:t>. IFRS Edition (2</w:t>
            </w:r>
            <w:r w:rsidRPr="00987900">
              <w:rPr>
                <w:b w:val="0"/>
                <w:bCs w:val="0"/>
                <w:vertAlign w:val="superscript"/>
                <w:lang w:bidi="ar-BH"/>
              </w:rPr>
              <w:t>nd</w:t>
            </w:r>
            <w:r w:rsidRPr="00987900">
              <w:rPr>
                <w:b w:val="0"/>
                <w:bCs w:val="0"/>
                <w:lang w:bidi="ar-BH"/>
              </w:rPr>
              <w:t xml:space="preserve"> Edition), John Wiley &amp; Sons. ISBN: 1118443969.</w:t>
            </w:r>
          </w:p>
        </w:tc>
      </w:tr>
      <w:tr w:rsidR="004C48D7" w:rsidRPr="009F3EE8" w14:paraId="3E448A70" w14:textId="77777777" w:rsidTr="096A86BC">
        <w:trPr>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41268084" w14:textId="38AF876D" w:rsidR="004C48D7" w:rsidRPr="00987900" w:rsidRDefault="52ABF6B0" w:rsidP="729237F4">
            <w:pPr>
              <w:pStyle w:val="ListParagraph"/>
              <w:numPr>
                <w:ilvl w:val="0"/>
                <w:numId w:val="22"/>
              </w:numPr>
              <w:bidi w:val="0"/>
              <w:rPr>
                <w:lang w:bidi="ar-BH"/>
              </w:rPr>
            </w:pPr>
            <w:r w:rsidRPr="00987900">
              <w:rPr>
                <w:lang w:bidi="ar-BH"/>
              </w:rPr>
              <w:t>References</w:t>
            </w:r>
            <w:r w:rsidR="00987900" w:rsidRPr="00987900">
              <w:rPr>
                <w:lang w:bidi="ar-BH"/>
              </w:rPr>
              <w:t>:</w:t>
            </w:r>
          </w:p>
          <w:p w14:paraId="73FB3C03" w14:textId="4E2284C2" w:rsidR="004C48D7" w:rsidRPr="00987900" w:rsidRDefault="00987900" w:rsidP="00987900">
            <w:pPr>
              <w:pStyle w:val="ListParagraph"/>
              <w:numPr>
                <w:ilvl w:val="0"/>
                <w:numId w:val="27"/>
              </w:numPr>
              <w:bidi w:val="0"/>
              <w:rPr>
                <w:rFonts w:cstheme="minorHAnsi"/>
                <w:b w:val="0"/>
                <w:bCs w:val="0"/>
                <w:lang w:bidi="ar-BH"/>
              </w:rPr>
            </w:pPr>
            <w:proofErr w:type="spellStart"/>
            <w:r w:rsidRPr="00987900">
              <w:rPr>
                <w:b w:val="0"/>
                <w:bCs w:val="0"/>
                <w:lang w:val="fr-FR" w:bidi="ar-BH"/>
              </w:rPr>
              <w:t>Wahlen</w:t>
            </w:r>
            <w:proofErr w:type="spellEnd"/>
            <w:r w:rsidRPr="00987900">
              <w:rPr>
                <w:b w:val="0"/>
                <w:bCs w:val="0"/>
                <w:lang w:val="fr-FR" w:bidi="ar-BH"/>
              </w:rPr>
              <w:t xml:space="preserve">, J., Jones, J., </w:t>
            </w:r>
            <w:proofErr w:type="spellStart"/>
            <w:r w:rsidRPr="00987900">
              <w:rPr>
                <w:b w:val="0"/>
                <w:bCs w:val="0"/>
                <w:lang w:val="fr-FR" w:bidi="ar-BH"/>
              </w:rPr>
              <w:t>Pagach</w:t>
            </w:r>
            <w:proofErr w:type="spellEnd"/>
            <w:r w:rsidRPr="00987900">
              <w:rPr>
                <w:b w:val="0"/>
                <w:bCs w:val="0"/>
                <w:lang w:val="fr-FR" w:bidi="ar-BH"/>
              </w:rPr>
              <w:t xml:space="preserve">. </w:t>
            </w:r>
            <w:r w:rsidRPr="00987900">
              <w:rPr>
                <w:b w:val="0"/>
                <w:bCs w:val="0"/>
                <w:lang w:bidi="ar-BH"/>
              </w:rPr>
              <w:t>D. (2015). </w:t>
            </w:r>
            <w:r w:rsidRPr="00987900">
              <w:rPr>
                <w:b w:val="0"/>
                <w:bCs w:val="0"/>
                <w:i/>
                <w:iCs/>
                <w:lang w:bidi="ar-BH"/>
              </w:rPr>
              <w:t xml:space="preserve">Intermediate Accounting. </w:t>
            </w:r>
            <w:r w:rsidRPr="00987900">
              <w:rPr>
                <w:b w:val="0"/>
                <w:bCs w:val="0"/>
                <w:lang w:bidi="ar-BH"/>
              </w:rPr>
              <w:t>2nd Edition. Cengage Learning. ISBN: 9781285453828.</w:t>
            </w:r>
          </w:p>
          <w:p w14:paraId="1D4BE989" w14:textId="74EDC930" w:rsidR="00987900" w:rsidRPr="00987900" w:rsidRDefault="00987900" w:rsidP="00987900">
            <w:pPr>
              <w:pStyle w:val="ListParagraph"/>
              <w:numPr>
                <w:ilvl w:val="0"/>
                <w:numId w:val="27"/>
              </w:numPr>
              <w:bidi w:val="0"/>
              <w:rPr>
                <w:rFonts w:cstheme="minorHAnsi"/>
                <w:b w:val="0"/>
                <w:bCs w:val="0"/>
                <w:lang w:bidi="ar-BH"/>
              </w:rPr>
            </w:pPr>
            <w:r w:rsidRPr="00987900">
              <w:rPr>
                <w:b w:val="0"/>
                <w:bCs w:val="0"/>
                <w:lang w:bidi="ar-BH"/>
              </w:rPr>
              <w:t xml:space="preserve">Wink, G. (2011). </w:t>
            </w:r>
            <w:r w:rsidRPr="00987900">
              <w:rPr>
                <w:b w:val="0"/>
                <w:bCs w:val="0"/>
                <w:i/>
                <w:iCs/>
                <w:lang w:bidi="ar-BH"/>
              </w:rPr>
              <w:t>Intermediate accounting demystified</w:t>
            </w:r>
            <w:r w:rsidRPr="00987900">
              <w:rPr>
                <w:b w:val="0"/>
                <w:bCs w:val="0"/>
                <w:lang w:bidi="ar-BH"/>
              </w:rPr>
              <w:t>. McGraw-Hill. ISBN: 9780071738859.Library code: HF5636.W74 2011.</w:t>
            </w:r>
          </w:p>
          <w:p w14:paraId="614C19DE" w14:textId="004F3DBC" w:rsidR="00987900" w:rsidRPr="00987900" w:rsidRDefault="00987900" w:rsidP="00987900">
            <w:pPr>
              <w:pStyle w:val="ListParagraph"/>
              <w:numPr>
                <w:ilvl w:val="0"/>
                <w:numId w:val="27"/>
              </w:numPr>
              <w:bidi w:val="0"/>
              <w:rPr>
                <w:rFonts w:cstheme="minorHAnsi"/>
                <w:b w:val="0"/>
                <w:bCs w:val="0"/>
                <w:lang w:bidi="ar-BH"/>
              </w:rPr>
            </w:pPr>
            <w:r w:rsidRPr="00987900">
              <w:rPr>
                <w:b w:val="0"/>
                <w:bCs w:val="0"/>
                <w:lang w:bidi="ar-BH"/>
              </w:rPr>
              <w:t xml:space="preserve">Spiceland, J., </w:t>
            </w:r>
            <w:proofErr w:type="spellStart"/>
            <w:r w:rsidRPr="00987900">
              <w:rPr>
                <w:b w:val="0"/>
                <w:bCs w:val="0"/>
                <w:lang w:bidi="ar-BH"/>
              </w:rPr>
              <w:t>Sepe</w:t>
            </w:r>
            <w:proofErr w:type="spellEnd"/>
            <w:r w:rsidRPr="00987900">
              <w:rPr>
                <w:b w:val="0"/>
                <w:bCs w:val="0"/>
                <w:lang w:bidi="ar-BH"/>
              </w:rPr>
              <w:t>, J., and Nelson, M. (2011). </w:t>
            </w:r>
            <w:r w:rsidRPr="00987900">
              <w:rPr>
                <w:b w:val="0"/>
                <w:bCs w:val="0"/>
                <w:i/>
                <w:iCs/>
                <w:lang w:bidi="ar-BH"/>
              </w:rPr>
              <w:t>Intermediate accounting</w:t>
            </w:r>
            <w:r w:rsidRPr="00987900">
              <w:rPr>
                <w:b w:val="0"/>
                <w:bCs w:val="0"/>
                <w:lang w:bidi="ar-BH"/>
              </w:rPr>
              <w:t>. Sixth edition.</w:t>
            </w:r>
            <w:r w:rsidRPr="00987900">
              <w:rPr>
                <w:rFonts w:eastAsia="Arial Unicode MS" w:cs="Arial Unicode MS"/>
                <w:b w:val="0"/>
                <w:bCs w:val="0"/>
                <w:shd w:val="clear" w:color="auto" w:fill="FFFFFF"/>
              </w:rPr>
              <w:t xml:space="preserve"> McGraw-Hill </w:t>
            </w:r>
            <w:r w:rsidRPr="00987900">
              <w:rPr>
                <w:b w:val="0"/>
                <w:bCs w:val="0"/>
                <w:lang w:bidi="ar-BH"/>
              </w:rPr>
              <w:t>Irwin. ISBN: 978-0078110832.</w:t>
            </w:r>
          </w:p>
          <w:p w14:paraId="083A43B7" w14:textId="665DE17A" w:rsidR="00C2558D" w:rsidRPr="00987900" w:rsidRDefault="000F1EC7" w:rsidP="00987900">
            <w:pPr>
              <w:pStyle w:val="ListParagraph"/>
              <w:numPr>
                <w:ilvl w:val="0"/>
                <w:numId w:val="27"/>
              </w:numPr>
              <w:bidi w:val="0"/>
              <w:rPr>
                <w:rFonts w:cstheme="minorHAnsi"/>
                <w:b w:val="0"/>
                <w:bCs w:val="0"/>
                <w:lang w:bidi="ar-BH"/>
              </w:rPr>
            </w:pPr>
            <w:hyperlink r:id="rId11" w:history="1">
              <w:r w:rsidR="00987900" w:rsidRPr="00987900">
                <w:rPr>
                  <w:rStyle w:val="Hyperlink"/>
                  <w:b w:val="0"/>
                  <w:bCs w:val="0"/>
                </w:rPr>
                <w:t>http://libcat.uob.edu.bh/</w:t>
              </w:r>
            </w:hyperlink>
          </w:p>
        </w:tc>
      </w:tr>
      <w:tr w:rsidR="004C48D7" w:rsidRPr="009F3EE8" w14:paraId="4EB75FCF" w14:textId="77777777" w:rsidTr="096A86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7A189FA0" w14:textId="217F6079" w:rsidR="004C48D7" w:rsidRPr="00987900" w:rsidRDefault="004C48D7" w:rsidP="729237F4">
            <w:pPr>
              <w:pStyle w:val="ListParagraph"/>
              <w:numPr>
                <w:ilvl w:val="0"/>
                <w:numId w:val="22"/>
              </w:numPr>
              <w:bidi w:val="0"/>
              <w:rPr>
                <w:lang w:bidi="ar-BH"/>
              </w:rPr>
            </w:pPr>
            <w:r w:rsidRPr="00987900">
              <w:rPr>
                <w:lang w:bidi="ar-BH"/>
              </w:rPr>
              <w:t>Other learning resources used (</w:t>
            </w:r>
            <w:r w:rsidR="7C6FB2E1" w:rsidRPr="00987900">
              <w:rPr>
                <w:lang w:bidi="ar-BH"/>
              </w:rPr>
              <w:t>e.g.,</w:t>
            </w:r>
            <w:r w:rsidRPr="00987900">
              <w:rPr>
                <w:lang w:bidi="ar-BH"/>
              </w:rPr>
              <w:t xml:space="preserve"> e-Learning, field visits, periodicals, software, etc.):</w:t>
            </w:r>
          </w:p>
          <w:p w14:paraId="5B2776C8" w14:textId="77777777" w:rsidR="004F6749" w:rsidRPr="00987900" w:rsidRDefault="000F1EC7" w:rsidP="00987900">
            <w:pPr>
              <w:pStyle w:val="ListParagraph"/>
              <w:numPr>
                <w:ilvl w:val="0"/>
                <w:numId w:val="28"/>
              </w:numPr>
              <w:tabs>
                <w:tab w:val="left" w:pos="1140"/>
              </w:tabs>
              <w:bidi w:val="0"/>
              <w:ind w:left="780" w:firstLine="39"/>
              <w:rPr>
                <w:rStyle w:val="Hyperlink"/>
                <w:rFonts w:cstheme="minorHAnsi"/>
                <w:b w:val="0"/>
                <w:bCs w:val="0"/>
                <w:color w:val="auto"/>
                <w:u w:val="none"/>
                <w:lang w:bidi="ar-BH"/>
              </w:rPr>
            </w:pPr>
            <w:hyperlink r:id="rId12" w:anchor="student" w:history="1">
              <w:r w:rsidR="00987900" w:rsidRPr="00987900">
                <w:rPr>
                  <w:rStyle w:val="Hyperlink"/>
                  <w:b w:val="0"/>
                  <w:bCs w:val="0"/>
                  <w:lang w:bidi="ar-BH"/>
                </w:rPr>
                <w:t>http://eu.wiley.com/WileyCDA/WileyTitle/productCd-EHEP003226.html#student</w:t>
              </w:r>
            </w:hyperlink>
          </w:p>
          <w:p w14:paraId="4856EEE3" w14:textId="77777777" w:rsidR="00987900" w:rsidRPr="00987900" w:rsidRDefault="000F1EC7" w:rsidP="00987900">
            <w:pPr>
              <w:pStyle w:val="ListParagraph"/>
              <w:numPr>
                <w:ilvl w:val="0"/>
                <w:numId w:val="28"/>
              </w:numPr>
              <w:tabs>
                <w:tab w:val="left" w:pos="1140"/>
              </w:tabs>
              <w:bidi w:val="0"/>
              <w:ind w:left="780" w:firstLine="39"/>
              <w:rPr>
                <w:rStyle w:val="Hyperlink"/>
                <w:rFonts w:cstheme="minorHAnsi"/>
                <w:b w:val="0"/>
                <w:bCs w:val="0"/>
                <w:color w:val="auto"/>
                <w:u w:val="none"/>
                <w:lang w:bidi="ar-BH"/>
              </w:rPr>
            </w:pPr>
            <w:hyperlink r:id="rId13" w:history="1">
              <w:r w:rsidR="00987900" w:rsidRPr="00987900">
                <w:rPr>
                  <w:rStyle w:val="Hyperlink"/>
                  <w:b w:val="0"/>
                  <w:bCs w:val="0"/>
                  <w:lang w:bidi="ar-BH"/>
                </w:rPr>
                <w:t>http://www.ac-knowledge.net/uobv3/language/en-US/eResources.aspx</w:t>
              </w:r>
            </w:hyperlink>
          </w:p>
          <w:p w14:paraId="667FC50D" w14:textId="726F1616" w:rsidR="00987900" w:rsidRPr="00987900" w:rsidRDefault="00987900" w:rsidP="00987900">
            <w:pPr>
              <w:pStyle w:val="ListParagraph"/>
              <w:numPr>
                <w:ilvl w:val="0"/>
                <w:numId w:val="28"/>
              </w:numPr>
              <w:tabs>
                <w:tab w:val="left" w:pos="1140"/>
              </w:tabs>
              <w:bidi w:val="0"/>
              <w:ind w:left="780" w:firstLine="39"/>
              <w:rPr>
                <w:rFonts w:cstheme="minorHAnsi"/>
                <w:lang w:bidi="ar-BH"/>
              </w:rPr>
            </w:pPr>
            <w:r w:rsidRPr="00987900">
              <w:rPr>
                <w:b w:val="0"/>
                <w:bCs w:val="0"/>
                <w:lang w:bidi="ar-BH"/>
              </w:rPr>
              <w:t>Microsoft programs</w:t>
            </w:r>
          </w:p>
        </w:tc>
      </w:tr>
      <w:tr w:rsidR="004C48D7" w:rsidRPr="009F3EE8" w14:paraId="0F54453B" w14:textId="77777777" w:rsidTr="096A86BC">
        <w:trPr>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733BD949" w14:textId="77777777" w:rsidR="004C48D7" w:rsidRPr="00746F37" w:rsidRDefault="004C48D7" w:rsidP="00746F37">
            <w:pPr>
              <w:pStyle w:val="ListParagraph"/>
              <w:numPr>
                <w:ilvl w:val="0"/>
                <w:numId w:val="22"/>
              </w:numPr>
              <w:bidi w:val="0"/>
              <w:rPr>
                <w:lang w:bidi="ar-BH"/>
              </w:rPr>
            </w:pPr>
            <w:r w:rsidRPr="729237F4">
              <w:rPr>
                <w:lang w:bidi="ar-BH"/>
              </w:rPr>
              <w:t>Course description (as per the published):</w:t>
            </w:r>
          </w:p>
          <w:p w14:paraId="234B0039" w14:textId="56BD5565" w:rsidR="00746F37" w:rsidRPr="00746F37" w:rsidRDefault="00746F37" w:rsidP="0062377E">
            <w:pPr>
              <w:pStyle w:val="ListParagraph"/>
              <w:bidi w:val="0"/>
              <w:ind w:left="150"/>
              <w:rPr>
                <w:b w:val="0"/>
                <w:bCs w:val="0"/>
                <w:lang w:bidi="ar-BH"/>
              </w:rPr>
            </w:pPr>
            <w:r>
              <w:rPr>
                <w:b w:val="0"/>
                <w:bCs w:val="0"/>
                <w:lang w:bidi="ar-BH"/>
              </w:rPr>
              <w:t xml:space="preserve">The environment of financial accounting and the development of accounting standards; conceptual framework </w:t>
            </w:r>
            <w:r w:rsidR="00981E56">
              <w:rPr>
                <w:b w:val="0"/>
                <w:bCs w:val="0"/>
                <w:lang w:bidi="ar-BH"/>
              </w:rPr>
              <w:t xml:space="preserve">underlying financial accounting; review of accounting process; statement of income and retained earnings; balance sheet and statement of </w:t>
            </w:r>
            <w:r w:rsidR="00CC03FD">
              <w:rPr>
                <w:b w:val="0"/>
                <w:bCs w:val="0"/>
                <w:lang w:bidi="ar-BH"/>
              </w:rPr>
              <w:t xml:space="preserve">cash flows; cash; receivables; valuation of inventories; acquisition and </w:t>
            </w:r>
            <w:r w:rsidR="00491DC7">
              <w:rPr>
                <w:b w:val="0"/>
                <w:bCs w:val="0"/>
                <w:lang w:bidi="ar-BH"/>
              </w:rPr>
              <w:t>disposal of property; plant and equipment; depreciation and depletion.</w:t>
            </w:r>
          </w:p>
        </w:tc>
      </w:tr>
      <w:tr w:rsidR="00257E47" w:rsidRPr="009F3EE8" w14:paraId="1E299D95" w14:textId="77777777" w:rsidTr="096A86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096A86BC">
        <w:trPr>
          <w:trHeight w:val="301"/>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593" w:type="dxa"/>
            <w:gridSpan w:val="17"/>
            <w:shd w:val="clear" w:color="auto" w:fill="auto"/>
          </w:tcPr>
          <w:p w14:paraId="34829BB9" w14:textId="4A37872F" w:rsidR="00257E47" w:rsidRPr="009F3EE8" w:rsidRDefault="26F02B72"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096A86BC">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t>Learning goals</w:t>
            </w:r>
          </w:p>
        </w:tc>
        <w:tc>
          <w:tcPr>
            <w:tcW w:w="797" w:type="dxa"/>
            <w:gridSpan w:val="2"/>
            <w:shd w:val="clear" w:color="auto" w:fill="auto"/>
            <w:textDirection w:val="btLr"/>
            <w:vAlign w:val="center"/>
          </w:tcPr>
          <w:p w14:paraId="2026AE51" w14:textId="45BEBFE2"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284" w:type="dxa"/>
            <w:gridSpan w:val="5"/>
            <w:shd w:val="clear" w:color="auto" w:fill="auto"/>
            <w:textDirection w:val="btLr"/>
            <w:vAlign w:val="center"/>
          </w:tcPr>
          <w:p w14:paraId="436BB8F8" w14:textId="35165EA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2"/>
            <w:shd w:val="clear" w:color="auto" w:fill="auto"/>
            <w:textDirection w:val="btLr"/>
            <w:vAlign w:val="center"/>
          </w:tcPr>
          <w:p w14:paraId="24761150" w14:textId="188CF39B"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798" w:type="dxa"/>
            <w:gridSpan w:val="2"/>
            <w:shd w:val="clear" w:color="auto" w:fill="auto"/>
            <w:textDirection w:val="btLr"/>
            <w:vAlign w:val="center"/>
          </w:tcPr>
          <w:p w14:paraId="41BFCA48" w14:textId="7756E481"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1012" w:type="dxa"/>
            <w:gridSpan w:val="2"/>
            <w:shd w:val="clear" w:color="auto" w:fill="auto"/>
            <w:textDirection w:val="btLr"/>
            <w:vAlign w:val="center"/>
          </w:tcPr>
          <w:p w14:paraId="1B3176EF" w14:textId="2BA16F4F" w:rsidR="00C2558D" w:rsidRPr="009F3EE8" w:rsidRDefault="00C2558D" w:rsidP="096A86BC">
            <w:pPr>
              <w:bidi w:val="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96A86BC">
              <w:rPr>
                <w:sz w:val="18"/>
                <w:szCs w:val="18"/>
                <w:lang w:bidi="ar-BH"/>
              </w:rPr>
              <w:t>f.</w:t>
            </w:r>
          </w:p>
          <w:p w14:paraId="75C00C96" w14:textId="497A010E" w:rsidR="00C2558D" w:rsidRPr="009F3EE8" w:rsidRDefault="00C2558D" w:rsidP="096A86BC">
            <w:pPr>
              <w:bidi w:val="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96A86BC">
              <w:rPr>
                <w:sz w:val="18"/>
                <w:szCs w:val="18"/>
                <w:lang w:bidi="ar-BH"/>
              </w:rPr>
              <w:t xml:space="preserve"> Values</w:t>
            </w:r>
          </w:p>
        </w:tc>
      </w:tr>
      <w:tr w:rsidR="00E10E3B" w:rsidRPr="009F3EE8" w14:paraId="40CDE3EF" w14:textId="77777777" w:rsidTr="007B4EE6">
        <w:trPr>
          <w:cantSplit/>
          <w:trHeight w:val="2515"/>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6469805B" w14:textId="431871E8" w:rsidR="00E10E3B" w:rsidRPr="00491DC7" w:rsidRDefault="00E10E3B" w:rsidP="000A173E">
            <w:pPr>
              <w:pStyle w:val="ListParagraph"/>
              <w:bidi w:val="0"/>
              <w:ind w:left="330"/>
              <w:rPr>
                <w:rFonts w:cstheme="minorHAnsi"/>
                <w:b w:val="0"/>
                <w:bCs w:val="0"/>
                <w:lang w:bidi="ar-BH"/>
              </w:rPr>
            </w:pPr>
          </w:p>
        </w:tc>
        <w:tc>
          <w:tcPr>
            <w:tcW w:w="450" w:type="dxa"/>
            <w:shd w:val="clear" w:color="auto" w:fill="auto"/>
            <w:textDirection w:val="btLr"/>
          </w:tcPr>
          <w:p w14:paraId="3E6E1BEB" w14:textId="55CC5451"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347" w:type="dxa"/>
            <w:shd w:val="clear" w:color="auto" w:fill="auto"/>
            <w:textDirection w:val="btLr"/>
          </w:tcPr>
          <w:p w14:paraId="2131DFB0" w14:textId="02146C5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3"/>
            <w:shd w:val="clear" w:color="auto" w:fill="auto"/>
            <w:textDirection w:val="btLr"/>
          </w:tcPr>
          <w:p w14:paraId="0AE2900B" w14:textId="34CCD83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shd w:val="clear" w:color="auto" w:fill="auto"/>
            <w:textDirection w:val="btLr"/>
          </w:tcPr>
          <w:p w14:paraId="30BC9B3D" w14:textId="3E24596D"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53" w:type="dxa"/>
            <w:shd w:val="clear" w:color="auto" w:fill="auto"/>
            <w:textDirection w:val="btLr"/>
          </w:tcPr>
          <w:p w14:paraId="4E9C3133" w14:textId="147863DA"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345" w:type="dxa"/>
            <w:shd w:val="clear" w:color="auto" w:fill="auto"/>
            <w:textDirection w:val="btLr"/>
          </w:tcPr>
          <w:p w14:paraId="35D20DCD" w14:textId="382A1672"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662" w:type="dxa"/>
            <w:shd w:val="clear" w:color="auto" w:fill="auto"/>
            <w:textDirection w:val="btLr"/>
          </w:tcPr>
          <w:p w14:paraId="566847B7" w14:textId="333C6D9D"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0A173E" w:rsidRPr="009F3EE8" w14:paraId="4CE48AD1" w14:textId="77777777" w:rsidTr="007B4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1EB5908E" w14:textId="3067F4E7" w:rsidR="000A173E" w:rsidRPr="000A173E" w:rsidRDefault="000A173E" w:rsidP="000A173E">
            <w:pPr>
              <w:pStyle w:val="ListParagraph"/>
              <w:numPr>
                <w:ilvl w:val="0"/>
                <w:numId w:val="30"/>
              </w:numPr>
              <w:bidi w:val="0"/>
              <w:ind w:left="330" w:hanging="270"/>
              <w:rPr>
                <w:rFonts w:cstheme="minorHAnsi"/>
                <w:b w:val="0"/>
                <w:bCs w:val="0"/>
                <w:sz w:val="18"/>
                <w:szCs w:val="18"/>
                <w:lang w:bidi="ar-BH"/>
              </w:rPr>
            </w:pPr>
            <w:r w:rsidRPr="000A173E">
              <w:rPr>
                <w:b w:val="0"/>
                <w:bCs w:val="0"/>
                <w:lang w:bidi="ar-BH"/>
              </w:rPr>
              <w:t>Demonstrate a reasonable knowledge and understanding of basic concepts of financial accounting in order to be able to prepare financial statements for business organizations.</w:t>
            </w:r>
          </w:p>
        </w:tc>
        <w:tc>
          <w:tcPr>
            <w:tcW w:w="450" w:type="dxa"/>
            <w:shd w:val="clear" w:color="auto" w:fill="auto"/>
            <w:vAlign w:val="center"/>
          </w:tcPr>
          <w:p w14:paraId="367748E4" w14:textId="292E2FCA" w:rsidR="000A173E" w:rsidRPr="009F3EE8" w:rsidRDefault="000A173E" w:rsidP="000A173E">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000DE2">
              <w:rPr>
                <w:rFonts w:ascii="Wingdings 2" w:eastAsia="Wingdings 2" w:hAnsi="Wingdings 2" w:cs="Wingdings 2"/>
                <w:lang w:bidi="ar-BH"/>
              </w:rPr>
              <w:t>P</w:t>
            </w:r>
          </w:p>
        </w:tc>
        <w:tc>
          <w:tcPr>
            <w:tcW w:w="347" w:type="dxa"/>
            <w:shd w:val="clear" w:color="auto" w:fill="auto"/>
            <w:vAlign w:val="center"/>
          </w:tcPr>
          <w:p w14:paraId="19341A3D" w14:textId="709D1345" w:rsidR="000A173E" w:rsidRPr="009F3EE8" w:rsidRDefault="000A173E" w:rsidP="000A173E">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3" w:type="dxa"/>
            <w:gridSpan w:val="2"/>
            <w:shd w:val="clear" w:color="auto" w:fill="auto"/>
            <w:vAlign w:val="center"/>
          </w:tcPr>
          <w:p w14:paraId="7EDF4D9B"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vAlign w:val="center"/>
          </w:tcPr>
          <w:p w14:paraId="57B11D08" w14:textId="3666C1C6" w:rsidR="000A173E" w:rsidRPr="009F3EE8" w:rsidRDefault="007B4EE6"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345" w:type="dxa"/>
            <w:shd w:val="clear" w:color="auto" w:fill="auto"/>
            <w:vAlign w:val="center"/>
          </w:tcPr>
          <w:p w14:paraId="40B3A122"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46397E67" w14:textId="3D3EDB49" w:rsidR="000A173E" w:rsidRPr="009F3EE8" w:rsidRDefault="007B4EE6"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452" w:type="dxa"/>
            <w:gridSpan w:val="2"/>
            <w:shd w:val="clear" w:color="auto" w:fill="auto"/>
          </w:tcPr>
          <w:p w14:paraId="26B30239"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C68FF27"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231148B9" w14:textId="77777777" w:rsidR="000A173E" w:rsidRPr="009F3EE8" w:rsidRDefault="000A173E" w:rsidP="000A173E">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691F949B"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62" w:type="dxa"/>
            <w:shd w:val="clear" w:color="auto" w:fill="auto"/>
          </w:tcPr>
          <w:p w14:paraId="7B94EF5F"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1BB01363"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0A173E" w:rsidRPr="009F3EE8" w14:paraId="3D9B3095" w14:textId="77777777" w:rsidTr="007B4EE6">
        <w:trPr>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5C4A9E1C" w14:textId="02B45721" w:rsidR="000A173E" w:rsidRPr="000A173E" w:rsidRDefault="000A173E" w:rsidP="000A173E">
            <w:pPr>
              <w:pStyle w:val="ListParagraph"/>
              <w:numPr>
                <w:ilvl w:val="0"/>
                <w:numId w:val="30"/>
              </w:numPr>
              <w:bidi w:val="0"/>
              <w:ind w:left="330" w:hanging="270"/>
              <w:rPr>
                <w:rFonts w:eastAsia="Calibri"/>
                <w:b w:val="0"/>
                <w:bCs w:val="0"/>
              </w:rPr>
            </w:pPr>
            <w:r w:rsidRPr="000A173E">
              <w:rPr>
                <w:b w:val="0"/>
                <w:bCs w:val="0"/>
                <w:lang w:bidi="ar-BH"/>
              </w:rPr>
              <w:lastRenderedPageBreak/>
              <w:t>Apply accounting principles for various elements of financial statements and disclosure requirements.</w:t>
            </w:r>
          </w:p>
        </w:tc>
        <w:tc>
          <w:tcPr>
            <w:tcW w:w="450" w:type="dxa"/>
            <w:shd w:val="clear" w:color="auto" w:fill="auto"/>
          </w:tcPr>
          <w:p w14:paraId="35A08245"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7" w:type="dxa"/>
            <w:shd w:val="clear" w:color="auto" w:fill="auto"/>
          </w:tcPr>
          <w:p w14:paraId="69B272B2"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7DE70A80"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vAlign w:val="center"/>
          </w:tcPr>
          <w:p w14:paraId="238AC9A9" w14:textId="04E3BDE6" w:rsidR="000A173E" w:rsidRPr="009F3EE8" w:rsidRDefault="007B4EE6"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345" w:type="dxa"/>
            <w:shd w:val="clear" w:color="auto" w:fill="auto"/>
            <w:vAlign w:val="center"/>
          </w:tcPr>
          <w:p w14:paraId="1E67274C"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765B4C59" w14:textId="7D74B9B6" w:rsidR="000A173E" w:rsidRPr="009F3EE8" w:rsidRDefault="007B4EE6"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452" w:type="dxa"/>
            <w:gridSpan w:val="2"/>
            <w:shd w:val="clear" w:color="auto" w:fill="auto"/>
            <w:vAlign w:val="center"/>
          </w:tcPr>
          <w:p w14:paraId="278CE5F3" w14:textId="4B9064B8" w:rsidR="000A173E" w:rsidRPr="009F3EE8" w:rsidRDefault="000A173E" w:rsidP="000A173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2" w:type="dxa"/>
            <w:gridSpan w:val="2"/>
            <w:shd w:val="clear" w:color="auto" w:fill="auto"/>
            <w:vAlign w:val="center"/>
          </w:tcPr>
          <w:p w14:paraId="635E593E"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359281AE" w14:textId="77777777" w:rsidR="000A173E" w:rsidRPr="009F3EE8" w:rsidRDefault="000A173E" w:rsidP="000A173E">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5085C81A"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62" w:type="dxa"/>
            <w:shd w:val="clear" w:color="auto" w:fill="auto"/>
            <w:vAlign w:val="center"/>
          </w:tcPr>
          <w:p w14:paraId="375A69C2" w14:textId="6B2BA6F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vAlign w:val="center"/>
          </w:tcPr>
          <w:p w14:paraId="229808ED"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0A173E" w:rsidRPr="009F3EE8" w14:paraId="4B90FC03" w14:textId="77777777" w:rsidTr="007B4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7C8456EF" w14:textId="79240138" w:rsidR="000A173E" w:rsidRPr="000A173E" w:rsidRDefault="000A173E" w:rsidP="000A173E">
            <w:pPr>
              <w:pStyle w:val="ListParagraph"/>
              <w:numPr>
                <w:ilvl w:val="0"/>
                <w:numId w:val="30"/>
              </w:numPr>
              <w:bidi w:val="0"/>
              <w:ind w:left="330" w:hanging="270"/>
              <w:rPr>
                <w:rFonts w:eastAsia="Calibri"/>
                <w:b w:val="0"/>
                <w:bCs w:val="0"/>
              </w:rPr>
            </w:pPr>
            <w:r w:rsidRPr="00491DC7">
              <w:rPr>
                <w:b w:val="0"/>
                <w:bCs w:val="0"/>
                <w:lang w:bidi="ar-BH"/>
              </w:rPr>
              <w:t>Examine and analyze financial statements for corporations.</w:t>
            </w:r>
          </w:p>
        </w:tc>
        <w:tc>
          <w:tcPr>
            <w:tcW w:w="450" w:type="dxa"/>
            <w:shd w:val="clear" w:color="auto" w:fill="auto"/>
          </w:tcPr>
          <w:p w14:paraId="7C07FB2B"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7" w:type="dxa"/>
            <w:shd w:val="clear" w:color="auto" w:fill="auto"/>
          </w:tcPr>
          <w:p w14:paraId="593B93A3"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5D9BA729"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vAlign w:val="center"/>
          </w:tcPr>
          <w:p w14:paraId="3768ACA8" w14:textId="7790F231" w:rsidR="000A173E" w:rsidRPr="009F3EE8" w:rsidRDefault="000A173E" w:rsidP="000A173E">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345" w:type="dxa"/>
            <w:shd w:val="clear" w:color="auto" w:fill="auto"/>
            <w:vAlign w:val="center"/>
          </w:tcPr>
          <w:p w14:paraId="45B47DED" w14:textId="07D15650" w:rsidR="000A173E" w:rsidRPr="009F3EE8" w:rsidRDefault="007B4EE6"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453" w:type="dxa"/>
            <w:shd w:val="clear" w:color="auto" w:fill="auto"/>
            <w:vAlign w:val="center"/>
          </w:tcPr>
          <w:p w14:paraId="384FBF38" w14:textId="172083C0" w:rsidR="000A173E" w:rsidRPr="009F3EE8" w:rsidRDefault="007B4EE6"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452" w:type="dxa"/>
            <w:gridSpan w:val="2"/>
            <w:shd w:val="clear" w:color="auto" w:fill="auto"/>
            <w:vAlign w:val="center"/>
          </w:tcPr>
          <w:p w14:paraId="6667A42E" w14:textId="4FF6B5ED" w:rsidR="000A173E" w:rsidRPr="009F3EE8" w:rsidRDefault="007B4EE6"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452" w:type="dxa"/>
            <w:gridSpan w:val="2"/>
            <w:shd w:val="clear" w:color="auto" w:fill="auto"/>
            <w:vAlign w:val="center"/>
          </w:tcPr>
          <w:p w14:paraId="31125493" w14:textId="10562B0C" w:rsidR="000A173E" w:rsidRPr="009F3EE8" w:rsidRDefault="000A173E" w:rsidP="000A173E">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3" w:type="dxa"/>
            <w:shd w:val="clear" w:color="auto" w:fill="auto"/>
            <w:vAlign w:val="center"/>
          </w:tcPr>
          <w:p w14:paraId="27435968" w14:textId="77777777" w:rsidR="000A173E" w:rsidRPr="009F3EE8" w:rsidRDefault="000A173E" w:rsidP="000A173E">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5DC9A1A1"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62" w:type="dxa"/>
            <w:shd w:val="clear" w:color="auto" w:fill="auto"/>
            <w:vAlign w:val="center"/>
          </w:tcPr>
          <w:p w14:paraId="1B4A75D5"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vAlign w:val="center"/>
          </w:tcPr>
          <w:p w14:paraId="129725C7" w14:textId="77777777" w:rsidR="000A173E" w:rsidRPr="009F3EE8" w:rsidRDefault="000A173E" w:rsidP="000A17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0A173E" w:rsidRPr="009F3EE8" w14:paraId="1FEB0440" w14:textId="77777777" w:rsidTr="007B4EE6">
        <w:trPr>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36A88F9B" w14:textId="06D98CC6" w:rsidR="000A173E" w:rsidRPr="000A173E" w:rsidRDefault="000A173E" w:rsidP="000A173E">
            <w:pPr>
              <w:pStyle w:val="ListParagraph"/>
              <w:numPr>
                <w:ilvl w:val="0"/>
                <w:numId w:val="30"/>
              </w:numPr>
              <w:bidi w:val="0"/>
              <w:ind w:left="330" w:hanging="270"/>
              <w:rPr>
                <w:rFonts w:eastAsia="Calibri"/>
                <w:b w:val="0"/>
                <w:bCs w:val="0"/>
              </w:rPr>
            </w:pPr>
            <w:r w:rsidRPr="000A173E">
              <w:rPr>
                <w:b w:val="0"/>
                <w:bCs w:val="0"/>
                <w:lang w:bidi="ar-BH"/>
              </w:rPr>
              <w:t>Evaluate accounting concepts, procedures and processes and apply them to financial statements.</w:t>
            </w:r>
          </w:p>
        </w:tc>
        <w:tc>
          <w:tcPr>
            <w:tcW w:w="450" w:type="dxa"/>
            <w:shd w:val="clear" w:color="auto" w:fill="auto"/>
          </w:tcPr>
          <w:p w14:paraId="7B99F277"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7" w:type="dxa"/>
            <w:shd w:val="clear" w:color="auto" w:fill="auto"/>
          </w:tcPr>
          <w:p w14:paraId="5BF7B22B"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487B0E09"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vAlign w:val="center"/>
          </w:tcPr>
          <w:p w14:paraId="33D6571F"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40D910A9" w14:textId="13DAFF94" w:rsidR="000A173E" w:rsidRPr="009F3EE8" w:rsidRDefault="007B4EE6" w:rsidP="000A173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000DE2">
              <w:rPr>
                <w:rFonts w:ascii="Wingdings 2" w:eastAsia="Wingdings 2" w:hAnsi="Wingdings 2" w:cs="Wingdings 2"/>
                <w:lang w:bidi="ar-BH"/>
              </w:rPr>
              <w:t>P</w:t>
            </w:r>
          </w:p>
        </w:tc>
        <w:tc>
          <w:tcPr>
            <w:tcW w:w="453" w:type="dxa"/>
            <w:shd w:val="clear" w:color="auto" w:fill="auto"/>
            <w:vAlign w:val="center"/>
          </w:tcPr>
          <w:p w14:paraId="6260F969" w14:textId="03790885" w:rsidR="000A173E" w:rsidRPr="009F3EE8" w:rsidRDefault="007B4EE6"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452" w:type="dxa"/>
            <w:gridSpan w:val="2"/>
            <w:shd w:val="clear" w:color="auto" w:fill="auto"/>
            <w:vAlign w:val="center"/>
          </w:tcPr>
          <w:p w14:paraId="3D4D1F11"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vAlign w:val="center"/>
          </w:tcPr>
          <w:p w14:paraId="52AD948F"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6829136E" w14:textId="77777777" w:rsidR="000A173E" w:rsidRPr="009F3EE8" w:rsidRDefault="000A173E" w:rsidP="000A173E">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vAlign w:val="center"/>
          </w:tcPr>
          <w:p w14:paraId="0ADB48DE" w14:textId="77777777" w:rsidR="000A173E" w:rsidRPr="009F3EE8" w:rsidRDefault="000A173E"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62" w:type="dxa"/>
            <w:shd w:val="clear" w:color="auto" w:fill="auto"/>
            <w:vAlign w:val="center"/>
          </w:tcPr>
          <w:p w14:paraId="19872153" w14:textId="2E81C037" w:rsidR="000A173E" w:rsidRPr="009F3EE8" w:rsidRDefault="007B4EE6"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c>
          <w:tcPr>
            <w:tcW w:w="350" w:type="dxa"/>
            <w:shd w:val="clear" w:color="auto" w:fill="auto"/>
            <w:vAlign w:val="center"/>
          </w:tcPr>
          <w:p w14:paraId="70163B3A" w14:textId="3214A910" w:rsidR="000A173E" w:rsidRPr="009F3EE8" w:rsidRDefault="007B4EE6" w:rsidP="000A173E">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00DE2">
              <w:rPr>
                <w:rFonts w:ascii="Wingdings 2" w:eastAsia="Wingdings 2" w:hAnsi="Wingdings 2" w:cs="Wingdings 2"/>
                <w:lang w:bidi="ar-BH"/>
              </w:rPr>
              <w:t>P</w:t>
            </w:r>
          </w:p>
        </w:tc>
      </w:tr>
    </w:tbl>
    <w:p w14:paraId="29225734" w14:textId="77777777" w:rsidR="002352D4" w:rsidRPr="009F3EE8" w:rsidRDefault="002352D4" w:rsidP="002352D4">
      <w:pPr>
        <w:bidi w:val="0"/>
        <w:rPr>
          <w:rFonts w:cstheme="minorHAnsi"/>
        </w:rPr>
      </w:pPr>
    </w:p>
    <w:tbl>
      <w:tblPr>
        <w:tblStyle w:val="MediumGrid1-Accent1"/>
        <w:tblW w:w="8883" w:type="dxa"/>
        <w:tblInd w:w="-72" w:type="dxa"/>
        <w:tblLook w:val="04A0" w:firstRow="1" w:lastRow="0" w:firstColumn="1" w:lastColumn="0" w:noHBand="0" w:noVBand="1"/>
      </w:tblPr>
      <w:tblGrid>
        <w:gridCol w:w="3199"/>
        <w:gridCol w:w="1272"/>
        <w:gridCol w:w="1013"/>
        <w:gridCol w:w="1521"/>
        <w:gridCol w:w="1878"/>
      </w:tblGrid>
      <w:tr w:rsidR="00A54452" w:rsidRPr="009F3EE8" w14:paraId="0E409C7E" w14:textId="77777777" w:rsidTr="006C52E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vAlign w:val="center"/>
          </w:tcPr>
          <w:p w14:paraId="25782C1A" w14:textId="77777777" w:rsidR="00A54452" w:rsidRPr="009F3EE8" w:rsidRDefault="2AE17E20" w:rsidP="729237F4">
            <w:pPr>
              <w:pStyle w:val="ListParagraph"/>
              <w:numPr>
                <w:ilvl w:val="0"/>
                <w:numId w:val="22"/>
              </w:numPr>
              <w:bidi w:val="0"/>
              <w:rPr>
                <w:lang w:bidi="ar-BH"/>
              </w:rPr>
            </w:pPr>
            <w:r w:rsidRPr="729237F4">
              <w:rPr>
                <w:lang w:bidi="ar-BH"/>
              </w:rPr>
              <w:t>Course assessment:</w:t>
            </w:r>
          </w:p>
        </w:tc>
      </w:tr>
      <w:tr w:rsidR="00A54452" w:rsidRPr="009F3EE8" w14:paraId="75338CC8" w14:textId="77777777" w:rsidTr="006C52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vAlign w:val="center"/>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1272" w:type="dxa"/>
            <w:shd w:val="clear" w:color="auto" w:fill="auto"/>
          </w:tcPr>
          <w:p w14:paraId="6E577D20"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1013" w:type="dxa"/>
            <w:shd w:val="clear" w:color="auto" w:fill="auto"/>
            <w:vAlign w:val="center"/>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521" w:type="dxa"/>
            <w:shd w:val="clear" w:color="auto" w:fill="auto"/>
            <w:vAlign w:val="center"/>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1878" w:type="dxa"/>
            <w:shd w:val="clear" w:color="auto" w:fill="auto"/>
            <w:vAlign w:val="center"/>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A54452" w:rsidRPr="009F3EE8" w14:paraId="46012FB6" w14:textId="77777777" w:rsidTr="00B55213">
        <w:trPr>
          <w:trHeight w:val="288"/>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vAlign w:val="center"/>
          </w:tcPr>
          <w:p w14:paraId="55ACC233" w14:textId="6E9E31C5" w:rsidR="00A54452" w:rsidRPr="009F3EE8" w:rsidRDefault="00C2558D" w:rsidP="4EF58196">
            <w:pPr>
              <w:bidi w:val="0"/>
              <w:jc w:val="center"/>
              <w:rPr>
                <w:rFonts w:cstheme="minorHAnsi"/>
                <w:b w:val="0"/>
                <w:bCs w:val="0"/>
              </w:rPr>
            </w:pPr>
            <w:r w:rsidRPr="009F3EE8">
              <w:rPr>
                <w:rFonts w:cstheme="minorHAnsi"/>
                <w:b w:val="0"/>
                <w:bCs w:val="0"/>
              </w:rPr>
              <w:t>Continuous Assessment (2-hour)</w:t>
            </w:r>
          </w:p>
        </w:tc>
        <w:tc>
          <w:tcPr>
            <w:tcW w:w="1272" w:type="dxa"/>
            <w:shd w:val="clear" w:color="auto" w:fill="auto"/>
            <w:vAlign w:val="center"/>
          </w:tcPr>
          <w:p w14:paraId="5FA30DF2" w14:textId="78CEC679" w:rsidR="00A54452" w:rsidRPr="009F3EE8" w:rsidRDefault="000B632F" w:rsidP="000B632F">
            <w:pPr>
              <w:bidi w:val="0"/>
              <w:spacing w:line="276" w:lineRule="auto"/>
              <w:jc w:val="center"/>
              <w:cnfStyle w:val="000000000000" w:firstRow="0" w:lastRow="0" w:firstColumn="0" w:lastColumn="0" w:oddVBand="0" w:evenVBand="0" w:oddHBand="0" w:evenHBand="0" w:firstRowFirstColumn="0" w:firstRowLastColumn="0" w:lastRowFirstColumn="0" w:lastRowLastColumn="0"/>
            </w:pPr>
            <w:r>
              <w:t>1, 2, 3 &amp; 4</w:t>
            </w:r>
          </w:p>
        </w:tc>
        <w:tc>
          <w:tcPr>
            <w:tcW w:w="1013" w:type="dxa"/>
            <w:shd w:val="clear" w:color="auto" w:fill="auto"/>
          </w:tcPr>
          <w:p w14:paraId="0D5ADA94" w14:textId="68EC363E" w:rsidR="00A54452" w:rsidRPr="009F3EE8" w:rsidRDefault="00A54452" w:rsidP="6D8C745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521" w:type="dxa"/>
            <w:shd w:val="clear" w:color="auto" w:fill="auto"/>
            <w:vAlign w:val="center"/>
          </w:tcPr>
          <w:p w14:paraId="71801530" w14:textId="076C8852" w:rsidR="00A54452" w:rsidRPr="009F3EE8" w:rsidRDefault="007B4EE6" w:rsidP="000B632F">
            <w:pPr>
              <w:pStyle w:val="ListParagraph"/>
              <w:bidi w:val="0"/>
              <w:ind w:left="511"/>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r w:rsidR="000B632F">
              <w:rPr>
                <w:rFonts w:cstheme="minorHAnsi"/>
              </w:rPr>
              <w:t xml:space="preserve">                         </w:t>
            </w:r>
          </w:p>
        </w:tc>
        <w:tc>
          <w:tcPr>
            <w:tcW w:w="1878" w:type="dxa"/>
            <w:shd w:val="clear" w:color="auto" w:fill="auto"/>
          </w:tcPr>
          <w:p w14:paraId="59B9BFD5" w14:textId="17F60E2C" w:rsidR="00A54452" w:rsidRPr="009F3EE8" w:rsidRDefault="00A54452" w:rsidP="729237F4">
            <w:pPr>
              <w:pStyle w:val="ListParagraph"/>
              <w:spacing w:line="276" w:lineRule="auto"/>
              <w:cnfStyle w:val="000000000000" w:firstRow="0" w:lastRow="0" w:firstColumn="0" w:lastColumn="0" w:oddVBand="0" w:evenVBand="0" w:oddHBand="0" w:evenHBand="0" w:firstRowFirstColumn="0" w:firstRowLastColumn="0" w:lastRowFirstColumn="0" w:lastRowLastColumn="0"/>
            </w:pPr>
          </w:p>
        </w:tc>
      </w:tr>
      <w:tr w:rsidR="00A54452" w:rsidRPr="009F3EE8" w14:paraId="0BD0852A" w14:textId="77777777" w:rsidTr="00B552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vAlign w:val="center"/>
          </w:tcPr>
          <w:p w14:paraId="36903115" w14:textId="5A46D52C" w:rsidR="00A54452" w:rsidRPr="009F3EE8" w:rsidRDefault="00C2558D" w:rsidP="002352D4">
            <w:pPr>
              <w:bidi w:val="0"/>
              <w:jc w:val="center"/>
              <w:rPr>
                <w:rFonts w:cstheme="minorHAnsi"/>
                <w:b w:val="0"/>
                <w:bCs w:val="0"/>
                <w:iCs/>
              </w:rPr>
            </w:pPr>
            <w:r w:rsidRPr="009F3EE8">
              <w:rPr>
                <w:rFonts w:cstheme="minorHAnsi"/>
                <w:b w:val="0"/>
                <w:bCs w:val="0"/>
                <w:iCs/>
              </w:rPr>
              <w:t>Engagement Activities (1-hour)</w:t>
            </w:r>
          </w:p>
        </w:tc>
        <w:tc>
          <w:tcPr>
            <w:tcW w:w="1272" w:type="dxa"/>
            <w:shd w:val="clear" w:color="auto" w:fill="auto"/>
            <w:vAlign w:val="center"/>
          </w:tcPr>
          <w:p w14:paraId="54B7D5E8" w14:textId="080C639A" w:rsidR="00A54452" w:rsidRPr="009F3EE8" w:rsidRDefault="000B632F" w:rsidP="000B632F">
            <w:pPr>
              <w:spacing w:line="276" w:lineRule="auto"/>
              <w:jc w:val="center"/>
              <w:cnfStyle w:val="000000100000" w:firstRow="0" w:lastRow="0" w:firstColumn="0" w:lastColumn="0" w:oddVBand="0" w:evenVBand="0" w:oddHBand="1" w:evenHBand="0" w:firstRowFirstColumn="0" w:firstRowLastColumn="0" w:lastRowFirstColumn="0" w:lastRowLastColumn="0"/>
            </w:pPr>
            <w:r>
              <w:t>1, 2, 3 &amp; 4</w:t>
            </w:r>
          </w:p>
        </w:tc>
        <w:tc>
          <w:tcPr>
            <w:tcW w:w="1013" w:type="dxa"/>
            <w:shd w:val="clear" w:color="auto" w:fill="auto"/>
          </w:tcPr>
          <w:p w14:paraId="2B9618F9" w14:textId="5EE73ECA" w:rsidR="00A54452" w:rsidRPr="009F3EE8" w:rsidRDefault="00A54452" w:rsidP="6D8C7458">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521" w:type="dxa"/>
            <w:shd w:val="clear" w:color="auto" w:fill="auto"/>
            <w:vAlign w:val="center"/>
          </w:tcPr>
          <w:p w14:paraId="3848CD51" w14:textId="11C53812" w:rsidR="00A54452" w:rsidRPr="009F3EE8" w:rsidRDefault="000B632F" w:rsidP="000B632F">
            <w:pPr>
              <w:pStyle w:val="ListParagraph"/>
              <w:bidi w:val="0"/>
              <w:ind w:left="511"/>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p>
        </w:tc>
        <w:tc>
          <w:tcPr>
            <w:tcW w:w="1878" w:type="dxa"/>
            <w:shd w:val="clear" w:color="auto" w:fill="auto"/>
          </w:tcPr>
          <w:p w14:paraId="509DE6BF" w14:textId="5BDDD768" w:rsidR="729237F4" w:rsidRDefault="729237F4" w:rsidP="729237F4">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pPr>
          </w:p>
          <w:p w14:paraId="5BF9737E" w14:textId="6F7C0D36" w:rsidR="00A54452" w:rsidRPr="009F3EE8" w:rsidRDefault="00A54452" w:rsidP="4EF5819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p>
        </w:tc>
      </w:tr>
      <w:tr w:rsidR="00B55213" w:rsidRPr="009F3EE8" w14:paraId="5306DB4F" w14:textId="77777777" w:rsidTr="00BD60AF">
        <w:trPr>
          <w:trHeight w:val="229"/>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vAlign w:val="center"/>
          </w:tcPr>
          <w:p w14:paraId="0434B891" w14:textId="14398242" w:rsidR="00B55213" w:rsidRPr="009F3EE8" w:rsidRDefault="00B55213" w:rsidP="00B55213">
            <w:pPr>
              <w:bidi w:val="0"/>
              <w:jc w:val="center"/>
              <w:rPr>
                <w:b w:val="0"/>
                <w:bCs w:val="0"/>
              </w:rPr>
            </w:pPr>
            <w:r>
              <w:rPr>
                <w:b w:val="0"/>
                <w:bCs w:val="0"/>
              </w:rPr>
              <w:t>Quiz (1)</w:t>
            </w:r>
            <w:r w:rsidR="00BD60AF">
              <w:rPr>
                <w:b w:val="0"/>
                <w:bCs w:val="0"/>
              </w:rPr>
              <w:t xml:space="preserve"> – Chapter 10</w:t>
            </w:r>
          </w:p>
        </w:tc>
        <w:tc>
          <w:tcPr>
            <w:tcW w:w="1272" w:type="dxa"/>
            <w:shd w:val="clear" w:color="auto" w:fill="auto"/>
            <w:vAlign w:val="center"/>
          </w:tcPr>
          <w:p w14:paraId="7599367D" w14:textId="0157BE96" w:rsidR="00B55213" w:rsidRPr="009F3EE8" w:rsidRDefault="00B55213" w:rsidP="00B55213">
            <w:pPr>
              <w:bidi w:val="0"/>
              <w:jc w:val="center"/>
              <w:cnfStyle w:val="000000000000" w:firstRow="0" w:lastRow="0" w:firstColumn="0" w:lastColumn="0" w:oddVBand="0" w:evenVBand="0" w:oddHBand="0" w:evenHBand="0" w:firstRowFirstColumn="0" w:firstRowLastColumn="0" w:lastRowFirstColumn="0" w:lastRowLastColumn="0"/>
            </w:pPr>
            <w:r w:rsidRPr="729237F4">
              <w:t xml:space="preserve"> </w:t>
            </w:r>
            <w:r w:rsidR="00BD60AF">
              <w:t>1, 2 &amp; 4</w:t>
            </w:r>
          </w:p>
        </w:tc>
        <w:tc>
          <w:tcPr>
            <w:tcW w:w="1013" w:type="dxa"/>
            <w:shd w:val="clear" w:color="auto" w:fill="auto"/>
            <w:vAlign w:val="center"/>
          </w:tcPr>
          <w:p w14:paraId="11CC52DF" w14:textId="31C1F251" w:rsidR="00B55213" w:rsidRPr="009F3EE8" w:rsidRDefault="004B1C3C" w:rsidP="00B55213">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rsidRPr="009F3EE8">
              <w:rPr>
                <w:rFonts w:cstheme="minorHAnsi"/>
              </w:rPr>
              <w:t>1</w:t>
            </w:r>
          </w:p>
        </w:tc>
        <w:tc>
          <w:tcPr>
            <w:tcW w:w="1521" w:type="dxa"/>
            <w:shd w:val="clear" w:color="auto" w:fill="auto"/>
            <w:vAlign w:val="center"/>
          </w:tcPr>
          <w:p w14:paraId="6693F96B" w14:textId="2F293AAB" w:rsidR="00B55213" w:rsidRPr="009F3EE8" w:rsidRDefault="00B55213" w:rsidP="00B55213">
            <w:pPr>
              <w:pStyle w:val="ListParagraph"/>
              <w:tabs>
                <w:tab w:val="right" w:pos="720"/>
                <w:tab w:val="right" w:pos="810"/>
              </w:tabs>
              <w:spacing w:line="276" w:lineRule="auto"/>
              <w:ind w:right="-234" w:hanging="270"/>
              <w:cnfStyle w:val="000000000000" w:firstRow="0" w:lastRow="0" w:firstColumn="0" w:lastColumn="0" w:oddVBand="0" w:evenVBand="0" w:oddHBand="0" w:evenHBand="0" w:firstRowFirstColumn="0" w:firstRowLastColumn="0" w:lastRowFirstColumn="0" w:lastRowLastColumn="0"/>
            </w:pPr>
            <w:r>
              <w:rPr>
                <w:rFonts w:cstheme="minorHAnsi"/>
              </w:rPr>
              <w:t>10%</w:t>
            </w:r>
          </w:p>
        </w:tc>
        <w:tc>
          <w:tcPr>
            <w:tcW w:w="1878" w:type="dxa"/>
            <w:shd w:val="clear" w:color="auto" w:fill="auto"/>
            <w:vAlign w:val="center"/>
          </w:tcPr>
          <w:p w14:paraId="55D477DA" w14:textId="30295C20" w:rsidR="00B55213" w:rsidRPr="009F3EE8" w:rsidRDefault="004B1C3C" w:rsidP="004B1C3C">
            <w:pPr>
              <w:pStyle w:val="ListParagraph"/>
              <w:tabs>
                <w:tab w:val="left" w:pos="601"/>
              </w:tabs>
              <w:bidi w:val="0"/>
              <w:spacing w:line="276" w:lineRule="auto"/>
              <w:ind w:left="691" w:hanging="720"/>
              <w:jc w:val="center"/>
              <w:cnfStyle w:val="000000000000" w:firstRow="0" w:lastRow="0" w:firstColumn="0" w:lastColumn="0" w:oddVBand="0" w:evenVBand="0" w:oddHBand="0" w:evenHBand="0" w:firstRowFirstColumn="0" w:firstRowLastColumn="0" w:lastRowFirstColumn="0" w:lastRowLastColumn="0"/>
            </w:pPr>
            <w:r>
              <w:t>TBA</w:t>
            </w:r>
          </w:p>
        </w:tc>
      </w:tr>
      <w:tr w:rsidR="00B55213" w:rsidRPr="009F3EE8" w14:paraId="425BD57D" w14:textId="77777777" w:rsidTr="00837F6A">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vAlign w:val="center"/>
          </w:tcPr>
          <w:p w14:paraId="0EBA5263" w14:textId="6C214AEB" w:rsidR="00B55213" w:rsidRPr="00B55213" w:rsidRDefault="00B55213" w:rsidP="00B55213">
            <w:pPr>
              <w:bidi w:val="0"/>
              <w:jc w:val="center"/>
              <w:rPr>
                <w:b w:val="0"/>
                <w:bCs w:val="0"/>
              </w:rPr>
            </w:pPr>
            <w:r w:rsidRPr="00B55213">
              <w:rPr>
                <w:b w:val="0"/>
                <w:bCs w:val="0"/>
              </w:rPr>
              <w:t>Quiz (2)</w:t>
            </w:r>
            <w:r w:rsidR="00BD60AF">
              <w:rPr>
                <w:b w:val="0"/>
                <w:bCs w:val="0"/>
              </w:rPr>
              <w:t xml:space="preserve"> – Chapters 1 and 2</w:t>
            </w:r>
          </w:p>
        </w:tc>
        <w:tc>
          <w:tcPr>
            <w:tcW w:w="1272" w:type="dxa"/>
            <w:shd w:val="clear" w:color="auto" w:fill="auto"/>
            <w:vAlign w:val="center"/>
          </w:tcPr>
          <w:p w14:paraId="1CF76294" w14:textId="68634CFD" w:rsidR="00B55213" w:rsidRPr="729237F4" w:rsidRDefault="00837F6A" w:rsidP="00B55213">
            <w:pPr>
              <w:bidi w:val="0"/>
              <w:jc w:val="center"/>
              <w:cnfStyle w:val="000000100000" w:firstRow="0" w:lastRow="0" w:firstColumn="0" w:lastColumn="0" w:oddVBand="0" w:evenVBand="0" w:oddHBand="1" w:evenHBand="0" w:firstRowFirstColumn="0" w:firstRowLastColumn="0" w:lastRowFirstColumn="0" w:lastRowLastColumn="0"/>
            </w:pPr>
            <w:r>
              <w:t>1</w:t>
            </w:r>
          </w:p>
        </w:tc>
        <w:tc>
          <w:tcPr>
            <w:tcW w:w="1013" w:type="dxa"/>
            <w:shd w:val="clear" w:color="auto" w:fill="auto"/>
            <w:vAlign w:val="center"/>
          </w:tcPr>
          <w:p w14:paraId="598D8D99" w14:textId="1FDE647E" w:rsidR="00B55213" w:rsidRPr="009F3EE8" w:rsidRDefault="004B1C3C" w:rsidP="00B55213">
            <w:pPr>
              <w:bidi w:val="0"/>
              <w:jc w:val="center"/>
              <w:cnfStyle w:val="000000100000" w:firstRow="0" w:lastRow="0" w:firstColumn="0" w:lastColumn="0" w:oddVBand="0" w:evenVBand="0" w:oddHBand="1" w:evenHBand="0" w:firstRowFirstColumn="0" w:firstRowLastColumn="0" w:lastRowFirstColumn="0" w:lastRowLastColumn="0"/>
            </w:pPr>
            <w:r w:rsidRPr="009F3EE8">
              <w:rPr>
                <w:rFonts w:cstheme="minorHAnsi"/>
              </w:rPr>
              <w:t>1</w:t>
            </w:r>
          </w:p>
        </w:tc>
        <w:tc>
          <w:tcPr>
            <w:tcW w:w="1521" w:type="dxa"/>
            <w:shd w:val="clear" w:color="auto" w:fill="auto"/>
            <w:vAlign w:val="center"/>
          </w:tcPr>
          <w:p w14:paraId="267E0B83" w14:textId="30DE489E" w:rsidR="00B55213" w:rsidRPr="009F3EE8" w:rsidRDefault="00B55213" w:rsidP="00B55213">
            <w:pPr>
              <w:pStyle w:val="ListParagraph"/>
              <w:tabs>
                <w:tab w:val="right" w:pos="720"/>
                <w:tab w:val="right" w:pos="810"/>
              </w:tabs>
              <w:ind w:hanging="270"/>
              <w:cnfStyle w:val="000000100000" w:firstRow="0" w:lastRow="0" w:firstColumn="0" w:lastColumn="0" w:oddVBand="0" w:evenVBand="0" w:oddHBand="1" w:evenHBand="0" w:firstRowFirstColumn="0" w:firstRowLastColumn="0" w:lastRowFirstColumn="0" w:lastRowLastColumn="0"/>
            </w:pPr>
            <w:r>
              <w:rPr>
                <w:rFonts w:cstheme="minorHAnsi"/>
              </w:rPr>
              <w:t>15%</w:t>
            </w:r>
          </w:p>
        </w:tc>
        <w:tc>
          <w:tcPr>
            <w:tcW w:w="1878" w:type="dxa"/>
            <w:shd w:val="clear" w:color="auto" w:fill="auto"/>
            <w:vAlign w:val="center"/>
          </w:tcPr>
          <w:p w14:paraId="4C8C6DC4" w14:textId="06FDB214" w:rsidR="00B55213" w:rsidRPr="009F3EE8" w:rsidRDefault="004B1C3C" w:rsidP="004B1C3C">
            <w:pPr>
              <w:pStyle w:val="ListParagraph"/>
              <w:tabs>
                <w:tab w:val="left" w:pos="511"/>
              </w:tabs>
              <w:bidi w:val="0"/>
              <w:ind w:left="511" w:hanging="511"/>
              <w:jc w:val="center"/>
              <w:cnfStyle w:val="000000100000" w:firstRow="0" w:lastRow="0" w:firstColumn="0" w:lastColumn="0" w:oddVBand="0" w:evenVBand="0" w:oddHBand="1" w:evenHBand="0" w:firstRowFirstColumn="0" w:firstRowLastColumn="0" w:lastRowFirstColumn="0" w:lastRowLastColumn="0"/>
            </w:pPr>
            <w:r>
              <w:t>TBA</w:t>
            </w:r>
          </w:p>
        </w:tc>
      </w:tr>
      <w:tr w:rsidR="00B55213" w:rsidRPr="009F3EE8" w14:paraId="35B15159" w14:textId="77777777" w:rsidTr="00837F6A">
        <w:trPr>
          <w:trHeight w:val="517"/>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vAlign w:val="center"/>
          </w:tcPr>
          <w:p w14:paraId="49183BDE" w14:textId="61E33331" w:rsidR="00B55213" w:rsidRPr="009F3EE8" w:rsidRDefault="00B55213" w:rsidP="00B55213">
            <w:pPr>
              <w:tabs>
                <w:tab w:val="center" w:pos="2220"/>
                <w:tab w:val="left" w:pos="2927"/>
              </w:tabs>
              <w:bidi w:val="0"/>
              <w:jc w:val="center"/>
              <w:rPr>
                <w:rFonts w:cstheme="minorHAnsi"/>
                <w:b w:val="0"/>
                <w:bCs w:val="0"/>
              </w:rPr>
            </w:pPr>
            <w:r w:rsidRPr="009F3EE8">
              <w:rPr>
                <w:rFonts w:cstheme="minorHAnsi"/>
                <w:b w:val="0"/>
                <w:bCs w:val="0"/>
              </w:rPr>
              <w:t>Case Study</w:t>
            </w:r>
          </w:p>
        </w:tc>
        <w:tc>
          <w:tcPr>
            <w:tcW w:w="1272" w:type="dxa"/>
            <w:shd w:val="clear" w:color="auto" w:fill="auto"/>
            <w:vAlign w:val="center"/>
          </w:tcPr>
          <w:p w14:paraId="41BD8924" w14:textId="44DDD6D4" w:rsidR="00B55213" w:rsidRPr="009F3EE8" w:rsidRDefault="00B55213" w:rsidP="00B55213">
            <w:pPr>
              <w:bidi w:val="0"/>
              <w:jc w:val="center"/>
              <w:cnfStyle w:val="000000000000" w:firstRow="0" w:lastRow="0" w:firstColumn="0" w:lastColumn="0" w:oddVBand="0" w:evenVBand="0" w:oddHBand="0" w:evenHBand="0" w:firstRowFirstColumn="0" w:firstRowLastColumn="0" w:lastRowFirstColumn="0" w:lastRowLastColumn="0"/>
            </w:pPr>
            <w:r w:rsidRPr="729237F4">
              <w:t xml:space="preserve"> </w:t>
            </w:r>
            <w:r w:rsidR="00837F6A">
              <w:t>1, 2 &amp; 3</w:t>
            </w:r>
          </w:p>
        </w:tc>
        <w:tc>
          <w:tcPr>
            <w:tcW w:w="1013" w:type="dxa"/>
            <w:shd w:val="clear" w:color="auto" w:fill="auto"/>
            <w:vAlign w:val="center"/>
          </w:tcPr>
          <w:p w14:paraId="1F430D96" w14:textId="46CF7593" w:rsidR="00B55213" w:rsidRPr="009F3EE8" w:rsidRDefault="004B1C3C" w:rsidP="004B1C3C">
            <w:pPr>
              <w:bidi w:val="0"/>
              <w:spacing w:line="276" w:lineRule="auto"/>
              <w:jc w:val="center"/>
              <w:cnfStyle w:val="000000000000" w:firstRow="0" w:lastRow="0" w:firstColumn="0" w:lastColumn="0" w:oddVBand="0" w:evenVBand="0" w:oddHBand="0" w:evenHBand="0" w:firstRowFirstColumn="0" w:firstRowLastColumn="0" w:lastRowFirstColumn="0" w:lastRowLastColumn="0"/>
            </w:pPr>
            <w:r w:rsidRPr="009F3EE8">
              <w:rPr>
                <w:rFonts w:cstheme="minorHAnsi"/>
              </w:rPr>
              <w:t>1</w:t>
            </w:r>
          </w:p>
        </w:tc>
        <w:tc>
          <w:tcPr>
            <w:tcW w:w="1521" w:type="dxa"/>
            <w:shd w:val="clear" w:color="auto" w:fill="auto"/>
            <w:vAlign w:val="center"/>
          </w:tcPr>
          <w:p w14:paraId="6A6CEF5C" w14:textId="0B1C3E7F" w:rsidR="00B55213" w:rsidRPr="009F3EE8" w:rsidRDefault="00B55213" w:rsidP="00B55213">
            <w:pPr>
              <w:pStyle w:val="ListParagraph"/>
              <w:bidi w:val="0"/>
              <w:ind w:left="496"/>
              <w:cnfStyle w:val="000000000000" w:firstRow="0" w:lastRow="0" w:firstColumn="0" w:lastColumn="0" w:oddVBand="0" w:evenVBand="0" w:oddHBand="0" w:evenHBand="0" w:firstRowFirstColumn="0" w:firstRowLastColumn="0" w:lastRowFirstColumn="0" w:lastRowLastColumn="0"/>
            </w:pPr>
            <w:r>
              <w:t>10%</w:t>
            </w:r>
            <w:r w:rsidRPr="729237F4">
              <w:t xml:space="preserve"> </w:t>
            </w:r>
          </w:p>
        </w:tc>
        <w:tc>
          <w:tcPr>
            <w:tcW w:w="1878" w:type="dxa"/>
            <w:shd w:val="clear" w:color="auto" w:fill="auto"/>
            <w:vAlign w:val="center"/>
          </w:tcPr>
          <w:p w14:paraId="70277B47" w14:textId="446531C1" w:rsidR="00B55213" w:rsidRPr="009F3EE8" w:rsidRDefault="004B1C3C" w:rsidP="004B1C3C">
            <w:pPr>
              <w:pStyle w:val="ListParagraph"/>
              <w:bidi w:val="0"/>
              <w:ind w:left="511" w:hanging="511"/>
              <w:jc w:val="center"/>
              <w:cnfStyle w:val="000000000000" w:firstRow="0" w:lastRow="0" w:firstColumn="0" w:lastColumn="0" w:oddVBand="0" w:evenVBand="0" w:oddHBand="0" w:evenHBand="0" w:firstRowFirstColumn="0" w:firstRowLastColumn="0" w:lastRowFirstColumn="0" w:lastRowLastColumn="0"/>
            </w:pPr>
            <w:r>
              <w:t>TBA</w:t>
            </w:r>
          </w:p>
        </w:tc>
      </w:tr>
      <w:tr w:rsidR="00B55213" w:rsidRPr="009F3EE8" w14:paraId="04B1D267" w14:textId="77777777" w:rsidTr="00837F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tcPr>
          <w:p w14:paraId="59577E0B" w14:textId="3A7128AF" w:rsidR="00B55213" w:rsidRPr="009F3EE8" w:rsidRDefault="00B55213" w:rsidP="00B55213">
            <w:pPr>
              <w:tabs>
                <w:tab w:val="center" w:pos="2220"/>
                <w:tab w:val="left" w:pos="2927"/>
              </w:tabs>
              <w:bidi w:val="0"/>
              <w:jc w:val="center"/>
              <w:rPr>
                <w:rFonts w:cstheme="minorHAnsi"/>
                <w:iCs/>
              </w:rPr>
            </w:pPr>
            <w:r w:rsidRPr="009F3EE8">
              <w:rPr>
                <w:rFonts w:cstheme="minorHAnsi"/>
                <w:b w:val="0"/>
                <w:bCs w:val="0"/>
                <w:iCs/>
              </w:rPr>
              <w:t>Final Exam</w:t>
            </w:r>
          </w:p>
          <w:p w14:paraId="6E8A953A" w14:textId="56731156" w:rsidR="00B55213" w:rsidRPr="009F3EE8" w:rsidRDefault="00B55213" w:rsidP="00B55213">
            <w:pPr>
              <w:tabs>
                <w:tab w:val="center" w:pos="2220"/>
                <w:tab w:val="left" w:pos="2927"/>
              </w:tabs>
              <w:bidi w:val="0"/>
              <w:jc w:val="center"/>
              <w:rPr>
                <w:rFonts w:cstheme="minorHAnsi"/>
                <w:b w:val="0"/>
                <w:bCs w:val="0"/>
                <w:iCs/>
              </w:rPr>
            </w:pPr>
            <w:r w:rsidRPr="009F3EE8">
              <w:rPr>
                <w:rFonts w:cstheme="minorHAnsi"/>
                <w:b w:val="0"/>
                <w:bCs w:val="0"/>
                <w:iCs/>
              </w:rPr>
              <w:t>(</w:t>
            </w:r>
            <w:proofErr w:type="spellStart"/>
            <w:r w:rsidRPr="009F3EE8">
              <w:rPr>
                <w:rFonts w:cstheme="minorHAnsi"/>
                <w:b w:val="0"/>
                <w:bCs w:val="0"/>
                <w:iCs/>
              </w:rPr>
              <w:t>Respondus</w:t>
            </w:r>
            <w:proofErr w:type="spellEnd"/>
            <w:r>
              <w:rPr>
                <w:rFonts w:cstheme="minorHAnsi"/>
                <w:b w:val="0"/>
                <w:bCs w:val="0"/>
                <w:iCs/>
              </w:rPr>
              <w:t xml:space="preserve"> Lockdown + Camera</w:t>
            </w:r>
            <w:r w:rsidRPr="009F3EE8">
              <w:rPr>
                <w:rFonts w:cstheme="minorHAnsi"/>
                <w:b w:val="0"/>
                <w:bCs w:val="0"/>
                <w:iCs/>
              </w:rPr>
              <w:t>)</w:t>
            </w:r>
          </w:p>
        </w:tc>
        <w:tc>
          <w:tcPr>
            <w:tcW w:w="1272" w:type="dxa"/>
            <w:shd w:val="clear" w:color="auto" w:fill="auto"/>
            <w:vAlign w:val="center"/>
          </w:tcPr>
          <w:p w14:paraId="558BC05D" w14:textId="130B96EB" w:rsidR="00B55213" w:rsidRPr="009F3EE8" w:rsidRDefault="00837F6A" w:rsidP="00837F6A">
            <w:pPr>
              <w:bidi w:val="0"/>
              <w:spacing w:line="276" w:lineRule="auto"/>
              <w:jc w:val="center"/>
              <w:cnfStyle w:val="000000100000" w:firstRow="0" w:lastRow="0" w:firstColumn="0" w:lastColumn="0" w:oddVBand="0" w:evenVBand="0" w:oddHBand="1" w:evenHBand="0" w:firstRowFirstColumn="0" w:firstRowLastColumn="0" w:lastRowFirstColumn="0" w:lastRowLastColumn="0"/>
            </w:pPr>
            <w:r>
              <w:t>1, 3 &amp; 4</w:t>
            </w:r>
          </w:p>
        </w:tc>
        <w:tc>
          <w:tcPr>
            <w:tcW w:w="1013" w:type="dxa"/>
            <w:shd w:val="clear" w:color="auto" w:fill="auto"/>
            <w:vAlign w:val="center"/>
          </w:tcPr>
          <w:p w14:paraId="6D5F9802" w14:textId="76EA7CEB" w:rsidR="00B55213" w:rsidRPr="009F3EE8" w:rsidRDefault="00B55213" w:rsidP="00B55213">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521" w:type="dxa"/>
            <w:shd w:val="clear" w:color="auto" w:fill="auto"/>
            <w:vAlign w:val="center"/>
          </w:tcPr>
          <w:p w14:paraId="075777F8" w14:textId="349A6749" w:rsidR="00B55213" w:rsidRPr="009F3EE8" w:rsidRDefault="00B55213" w:rsidP="00B55213">
            <w:pPr>
              <w:pStyle w:val="ListParagraph"/>
              <w:bidi w:val="0"/>
              <w:ind w:left="496"/>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40%</w:t>
            </w:r>
          </w:p>
        </w:tc>
        <w:tc>
          <w:tcPr>
            <w:tcW w:w="1878" w:type="dxa"/>
            <w:shd w:val="clear" w:color="auto" w:fill="auto"/>
          </w:tcPr>
          <w:p w14:paraId="41A226A8" w14:textId="325A61AF" w:rsidR="00B55213" w:rsidRPr="009F3EE8" w:rsidRDefault="00E935E1" w:rsidP="00E935E1">
            <w:pPr>
              <w:pStyle w:val="ListParagraph"/>
              <w:tabs>
                <w:tab w:val="left" w:pos="151"/>
                <w:tab w:val="left" w:pos="331"/>
              </w:tabs>
              <w:bidi w:val="0"/>
              <w:spacing w:line="276" w:lineRule="auto"/>
              <w:ind w:left="241"/>
              <w:cnfStyle w:val="000000100000" w:firstRow="0" w:lastRow="0" w:firstColumn="0" w:lastColumn="0" w:oddVBand="0" w:evenVBand="0" w:oddHBand="1" w:evenHBand="0" w:firstRowFirstColumn="0" w:firstRowLastColumn="0" w:lastRowFirstColumn="0" w:lastRowLastColumn="0"/>
            </w:pPr>
            <w:r>
              <w:t>7 June 2021, 11:30 – 1:30</w:t>
            </w:r>
          </w:p>
        </w:tc>
      </w:tr>
      <w:tr w:rsidR="00B55213" w:rsidRPr="009F3EE8" w14:paraId="0C543CEE" w14:textId="77777777" w:rsidTr="006C52E6">
        <w:trPr>
          <w:trHeight w:val="364"/>
        </w:trPr>
        <w:tc>
          <w:tcPr>
            <w:cnfStyle w:val="001000000000" w:firstRow="0" w:lastRow="0" w:firstColumn="1" w:lastColumn="0" w:oddVBand="0" w:evenVBand="0" w:oddHBand="0" w:evenHBand="0" w:firstRowFirstColumn="0" w:firstRowLastColumn="0" w:lastRowFirstColumn="0" w:lastRowLastColumn="0"/>
            <w:tcW w:w="3199" w:type="dxa"/>
            <w:shd w:val="clear" w:color="auto" w:fill="auto"/>
            <w:vAlign w:val="center"/>
          </w:tcPr>
          <w:p w14:paraId="34E164F4" w14:textId="77777777" w:rsidR="00B55213" w:rsidRPr="009F3EE8" w:rsidRDefault="00B55213" w:rsidP="00B55213">
            <w:pPr>
              <w:tabs>
                <w:tab w:val="center" w:pos="2220"/>
                <w:tab w:val="left" w:pos="2927"/>
              </w:tabs>
              <w:bidi w:val="0"/>
              <w:jc w:val="center"/>
              <w:rPr>
                <w:rFonts w:cstheme="minorHAnsi"/>
                <w:iCs/>
              </w:rPr>
            </w:pPr>
            <w:r w:rsidRPr="009F3EE8">
              <w:rPr>
                <w:rFonts w:cstheme="minorHAnsi"/>
                <w:iCs/>
              </w:rPr>
              <w:t>Total</w:t>
            </w:r>
          </w:p>
        </w:tc>
        <w:tc>
          <w:tcPr>
            <w:tcW w:w="1272" w:type="dxa"/>
            <w:shd w:val="clear" w:color="auto" w:fill="auto"/>
            <w:vAlign w:val="center"/>
          </w:tcPr>
          <w:p w14:paraId="45EAAC92" w14:textId="77777777" w:rsidR="00B55213" w:rsidRPr="009F3EE8" w:rsidRDefault="00B55213" w:rsidP="00B55213">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013" w:type="dxa"/>
            <w:shd w:val="clear" w:color="auto" w:fill="auto"/>
            <w:vAlign w:val="center"/>
          </w:tcPr>
          <w:p w14:paraId="56EB4543" w14:textId="77777777" w:rsidR="00B55213" w:rsidRPr="009F3EE8" w:rsidRDefault="00B55213" w:rsidP="00B55213">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521" w:type="dxa"/>
            <w:shd w:val="clear" w:color="auto" w:fill="auto"/>
            <w:vAlign w:val="center"/>
          </w:tcPr>
          <w:p w14:paraId="1ACD0E95" w14:textId="77777777" w:rsidR="00B55213" w:rsidRPr="009F3EE8" w:rsidRDefault="00B55213" w:rsidP="00B55213">
            <w:pPr>
              <w:pStyle w:val="ListParagraph"/>
              <w:bidi w:val="0"/>
              <w:ind w:left="496"/>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100%</w:t>
            </w:r>
          </w:p>
        </w:tc>
        <w:tc>
          <w:tcPr>
            <w:tcW w:w="1878" w:type="dxa"/>
            <w:shd w:val="clear" w:color="auto" w:fill="auto"/>
          </w:tcPr>
          <w:p w14:paraId="47B52B8B" w14:textId="77777777" w:rsidR="00B55213" w:rsidRPr="009F3EE8" w:rsidRDefault="00B55213" w:rsidP="00B55213">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9F3EE8" w:rsidRDefault="00C42606" w:rsidP="002352D4">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2352D4" w:rsidRPr="009F3EE8" w14:paraId="63D751DF" w14:textId="77777777" w:rsidTr="006C52E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vAlign w:val="center"/>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6C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22" w:type="pct"/>
            <w:shd w:val="clear" w:color="auto" w:fill="FFFFFF" w:themeFill="background1"/>
            <w:vAlign w:val="center"/>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2352D4" w:rsidRPr="009F3EE8" w14:paraId="4CC280C4" w14:textId="77777777" w:rsidTr="006C52E6">
        <w:trPr>
          <w:trHeight w:val="159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31AA67D4" w14:textId="77777777" w:rsidR="00F0159A" w:rsidRPr="00000DE2" w:rsidRDefault="00F0159A" w:rsidP="00F0159A">
            <w:pPr>
              <w:jc w:val="center"/>
              <w:rPr>
                <w:b w:val="0"/>
                <w:bCs w:val="0"/>
                <w:iCs/>
              </w:rPr>
            </w:pPr>
            <w:r w:rsidRPr="00000DE2">
              <w:rPr>
                <w:iCs/>
              </w:rPr>
              <w:t>Chapter 1</w:t>
            </w:r>
          </w:p>
          <w:p w14:paraId="45BD61C9" w14:textId="715DEB35" w:rsidR="002352D4" w:rsidRPr="006C52E6" w:rsidRDefault="00F0159A" w:rsidP="00F0159A">
            <w:pPr>
              <w:spacing w:after="200" w:line="276" w:lineRule="auto"/>
              <w:jc w:val="center"/>
              <w:rPr>
                <w:rFonts w:eastAsia="Calibri"/>
                <w:b w:val="0"/>
                <w:bCs w:val="0"/>
              </w:rPr>
            </w:pPr>
            <w:r w:rsidRPr="006C52E6">
              <w:rPr>
                <w:b w:val="0"/>
                <w:bCs w:val="0"/>
                <w:iCs/>
              </w:rPr>
              <w:t>Financial Reporting and Accounting Standards</w:t>
            </w:r>
          </w:p>
        </w:tc>
        <w:tc>
          <w:tcPr>
            <w:tcW w:w="3522" w:type="pct"/>
            <w:shd w:val="clear" w:color="auto" w:fill="FFFFFF" w:themeFill="background1"/>
          </w:tcPr>
          <w:p w14:paraId="0D5D3B8E" w14:textId="5E5472CA" w:rsidR="002352D4" w:rsidRPr="009F3EE8" w:rsidRDefault="00F0159A" w:rsidP="00F0159A">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000DE2">
              <w:t>Identification of the main financial statements and other means of financial reporting. Explain how accounting assists in the efficient use of scarce resources. Additionally, the objective of financial reporting is explained and challenges facing financial rep</w:t>
            </w:r>
            <w:r>
              <w:t>orting practices are discussed.</w:t>
            </w:r>
          </w:p>
        </w:tc>
      </w:tr>
      <w:tr w:rsidR="002352D4" w:rsidRPr="009F3EE8" w14:paraId="4B58BB5A"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tbl>
            <w:tblPr>
              <w:tblW w:w="0" w:type="auto"/>
              <w:tblLook w:val="04A0" w:firstRow="1" w:lastRow="0" w:firstColumn="1" w:lastColumn="0" w:noHBand="0" w:noVBand="1"/>
            </w:tblPr>
            <w:tblGrid>
              <w:gridCol w:w="2410"/>
            </w:tblGrid>
            <w:tr w:rsidR="410811A1" w:rsidRPr="009F3EE8" w14:paraId="03D130D2" w14:textId="77777777" w:rsidTr="0062377E">
              <w:tc>
                <w:tcPr>
                  <w:tcW w:w="2415" w:type="dxa"/>
                  <w:vAlign w:val="center"/>
                </w:tcPr>
                <w:p w14:paraId="6B7F5E03" w14:textId="77777777" w:rsidR="00F0159A" w:rsidRPr="00000DE2" w:rsidRDefault="00F0159A" w:rsidP="0062377E">
                  <w:pPr>
                    <w:spacing w:after="0" w:line="240" w:lineRule="auto"/>
                    <w:jc w:val="center"/>
                    <w:rPr>
                      <w:b/>
                      <w:bCs/>
                      <w:iCs/>
                    </w:rPr>
                  </w:pPr>
                  <w:r w:rsidRPr="00000DE2">
                    <w:rPr>
                      <w:b/>
                      <w:bCs/>
                      <w:iCs/>
                    </w:rPr>
                    <w:t>Chapter 2</w:t>
                  </w:r>
                </w:p>
                <w:p w14:paraId="1046788D" w14:textId="77777777" w:rsidR="00F0159A" w:rsidRPr="00000DE2" w:rsidRDefault="00F0159A" w:rsidP="0062377E">
                  <w:pPr>
                    <w:spacing w:after="0" w:line="240" w:lineRule="auto"/>
                    <w:jc w:val="center"/>
                    <w:rPr>
                      <w:iCs/>
                    </w:rPr>
                  </w:pPr>
                  <w:r w:rsidRPr="00000DE2">
                    <w:rPr>
                      <w:iCs/>
                    </w:rPr>
                    <w:t>Conceptual Framework</w:t>
                  </w:r>
                </w:p>
                <w:p w14:paraId="2ADA454E" w14:textId="7A8B7C94" w:rsidR="410811A1" w:rsidRPr="009F3EE8" w:rsidRDefault="00F0159A" w:rsidP="0062377E">
                  <w:pPr>
                    <w:spacing w:after="0"/>
                    <w:jc w:val="center"/>
                    <w:rPr>
                      <w:rFonts w:eastAsia="Calibri"/>
                    </w:rPr>
                  </w:pPr>
                  <w:r>
                    <w:rPr>
                      <w:iCs/>
                    </w:rPr>
                    <w:t>for Financial Reporting</w:t>
                  </w:r>
                </w:p>
              </w:tc>
            </w:tr>
          </w:tbl>
          <w:p w14:paraId="5CD2B24C" w14:textId="653D6A06" w:rsidR="002352D4" w:rsidRPr="009F3EE8" w:rsidRDefault="002352D4" w:rsidP="410811A1">
            <w:pPr>
              <w:bidi w:val="0"/>
              <w:jc w:val="center"/>
              <w:rPr>
                <w:rFonts w:cstheme="minorHAnsi"/>
                <w:b w:val="0"/>
                <w:bCs w:val="0"/>
                <w:lang w:bidi="ar-BH"/>
              </w:rPr>
            </w:pPr>
          </w:p>
        </w:tc>
        <w:tc>
          <w:tcPr>
            <w:tcW w:w="3522" w:type="pct"/>
            <w:shd w:val="clear" w:color="auto" w:fill="FFFFFF" w:themeFill="background1"/>
          </w:tcPr>
          <w:p w14:paraId="1A0EF84F" w14:textId="6F720C5F" w:rsidR="002352D4" w:rsidRPr="009F3EE8" w:rsidRDefault="006C52E6" w:rsidP="006C52E6">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CD0353">
              <w:t>Discussion of usefulness and importance of a conceptual framework. Explanation and analysis of all components of the conceptual framework.</w:t>
            </w:r>
          </w:p>
        </w:tc>
      </w:tr>
      <w:tr w:rsidR="002352D4" w:rsidRPr="009F3EE8" w14:paraId="28DBD29C"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0684125" w14:textId="77777777" w:rsidR="005D117C" w:rsidRDefault="005D117C">
            <w:pPr>
              <w:bidi w:val="0"/>
            </w:pPr>
          </w:p>
          <w:tbl>
            <w:tblPr>
              <w:tblW w:w="0" w:type="auto"/>
              <w:tblLook w:val="04A0" w:firstRow="1" w:lastRow="0" w:firstColumn="1" w:lastColumn="0" w:noHBand="0" w:noVBand="1"/>
            </w:tblPr>
            <w:tblGrid>
              <w:gridCol w:w="2410"/>
            </w:tblGrid>
            <w:tr w:rsidR="410811A1" w:rsidRPr="009F3EE8" w14:paraId="3118520B" w14:textId="77777777" w:rsidTr="005D117C">
              <w:tc>
                <w:tcPr>
                  <w:tcW w:w="2410" w:type="dxa"/>
                  <w:vAlign w:val="bottom"/>
                </w:tcPr>
                <w:p w14:paraId="5CBB00F7" w14:textId="0D20DA6D" w:rsidR="005D117C" w:rsidRPr="00000DE2" w:rsidRDefault="006C52E6" w:rsidP="005D117C">
                  <w:pPr>
                    <w:spacing w:after="0" w:line="240" w:lineRule="auto"/>
                    <w:jc w:val="center"/>
                    <w:rPr>
                      <w:b/>
                      <w:bCs/>
                      <w:lang w:bidi="ar-BH"/>
                    </w:rPr>
                  </w:pPr>
                  <w:r w:rsidRPr="00000DE2">
                    <w:rPr>
                      <w:b/>
                      <w:bCs/>
                      <w:lang w:bidi="ar-BH"/>
                    </w:rPr>
                    <w:t>Chapter 4</w:t>
                  </w:r>
                </w:p>
                <w:p w14:paraId="1D5C5C45" w14:textId="174D1ED2" w:rsidR="410811A1" w:rsidRPr="009F3EE8" w:rsidRDefault="006C52E6" w:rsidP="005D117C">
                  <w:pPr>
                    <w:bidi w:val="0"/>
                    <w:spacing w:after="0"/>
                    <w:jc w:val="center"/>
                    <w:rPr>
                      <w:rFonts w:eastAsia="Arial"/>
                    </w:rPr>
                  </w:pPr>
                  <w:r w:rsidRPr="00000DE2">
                    <w:rPr>
                      <w:lang w:bidi="ar-BH"/>
                    </w:rPr>
                    <w:t>Income St</w:t>
                  </w:r>
                  <w:r>
                    <w:rPr>
                      <w:lang w:bidi="ar-BH"/>
                    </w:rPr>
                    <w:t>atement and Related Informatio</w:t>
                  </w:r>
                  <w:r w:rsidR="005D117C">
                    <w:rPr>
                      <w:lang w:bidi="ar-BH"/>
                    </w:rPr>
                    <w:t>n</w:t>
                  </w:r>
                </w:p>
              </w:tc>
            </w:tr>
          </w:tbl>
          <w:p w14:paraId="26183E91" w14:textId="4EF52340" w:rsidR="002352D4" w:rsidRPr="009F3EE8" w:rsidRDefault="002352D4" w:rsidP="410811A1">
            <w:pPr>
              <w:bidi w:val="0"/>
              <w:jc w:val="center"/>
              <w:rPr>
                <w:rFonts w:cstheme="minorHAnsi"/>
                <w:b w:val="0"/>
                <w:bCs w:val="0"/>
                <w:lang w:bidi="ar-BH"/>
              </w:rPr>
            </w:pPr>
          </w:p>
        </w:tc>
        <w:tc>
          <w:tcPr>
            <w:tcW w:w="3522" w:type="pct"/>
            <w:shd w:val="clear" w:color="auto" w:fill="FFFFFF" w:themeFill="background1"/>
          </w:tcPr>
          <w:p w14:paraId="0B251679" w14:textId="6839A08C" w:rsidR="002352D4" w:rsidRPr="009F3EE8" w:rsidRDefault="006C52E6" w:rsidP="006C52E6">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000DE2">
              <w:t>Explain how to report various items in income statement and comprehensive income statement.  In the period tax allocation topic is explained.  Accounting treatments as to accounting changes and errors are discussed. Additionally, how to report “other comprehensive income” item is explained.</w:t>
            </w:r>
          </w:p>
        </w:tc>
      </w:tr>
      <w:tr w:rsidR="002352D4" w:rsidRPr="009F3EE8" w14:paraId="33DCA28A" w14:textId="77777777" w:rsidTr="005D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65E5458" w14:textId="77777777" w:rsidR="000A55A4" w:rsidRPr="00000DE2" w:rsidRDefault="000A55A4" w:rsidP="000A55A4">
            <w:pPr>
              <w:jc w:val="center"/>
              <w:rPr>
                <w:b w:val="0"/>
                <w:bCs w:val="0"/>
                <w:lang w:bidi="ar-BH"/>
              </w:rPr>
            </w:pPr>
            <w:r w:rsidRPr="00000DE2">
              <w:rPr>
                <w:lang w:bidi="ar-BH"/>
              </w:rPr>
              <w:t>Chapter 5</w:t>
            </w:r>
          </w:p>
          <w:p w14:paraId="142B7C6C" w14:textId="3BD67A1A" w:rsidR="002352D4" w:rsidRPr="0062377E" w:rsidRDefault="000A55A4" w:rsidP="000A55A4">
            <w:pPr>
              <w:spacing w:after="200" w:line="276" w:lineRule="auto"/>
              <w:jc w:val="center"/>
              <w:rPr>
                <w:rFonts w:eastAsia="Calibri"/>
                <w:b w:val="0"/>
                <w:bCs w:val="0"/>
              </w:rPr>
            </w:pPr>
            <w:r w:rsidRPr="0062377E">
              <w:rPr>
                <w:b w:val="0"/>
                <w:bCs w:val="0"/>
                <w:lang w:bidi="ar-BH"/>
              </w:rPr>
              <w:t>Statement of Financial Position and Statement of Cash Flows</w:t>
            </w:r>
          </w:p>
        </w:tc>
        <w:tc>
          <w:tcPr>
            <w:tcW w:w="3522" w:type="pct"/>
            <w:shd w:val="clear" w:color="auto" w:fill="FFFFFF" w:themeFill="background1"/>
          </w:tcPr>
          <w:p w14:paraId="0538A8D8" w14:textId="77777777" w:rsidR="000A55A4" w:rsidRPr="00000DE2" w:rsidRDefault="000A55A4" w:rsidP="000A55A4">
            <w:pPr>
              <w:pStyle w:val="ListParagraph"/>
              <w:bidi w:val="0"/>
              <w:ind w:left="0"/>
              <w:cnfStyle w:val="000000100000" w:firstRow="0" w:lastRow="0" w:firstColumn="0" w:lastColumn="0" w:oddVBand="0" w:evenVBand="0" w:oddHBand="1" w:evenHBand="0" w:firstRowFirstColumn="0" w:firstRowLastColumn="0" w:lastRowFirstColumn="0" w:lastRowLastColumn="0"/>
            </w:pPr>
            <w:r w:rsidRPr="00000DE2">
              <w:t>Discussion of the uses and limitations of a statement of financial position. Explain how to prepare a classified statement of financial position using the available formats. Preparing statement of cash flows is explained.</w:t>
            </w:r>
          </w:p>
          <w:p w14:paraId="6350F53A" w14:textId="69B2099C" w:rsidR="002352D4" w:rsidRPr="009F3EE8" w:rsidRDefault="000A55A4" w:rsidP="000A55A4">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000DE2">
              <w:t>In addition to a discussion of major disclosure techniques for financial statements.</w:t>
            </w:r>
          </w:p>
        </w:tc>
      </w:tr>
      <w:tr w:rsidR="002352D4" w:rsidRPr="009F3EE8" w14:paraId="47DB9C63"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8E5FBC2" w14:textId="77777777" w:rsidR="005D117C" w:rsidRPr="005D117C" w:rsidRDefault="005D117C" w:rsidP="005D117C">
            <w:pPr>
              <w:bidi w:val="0"/>
              <w:rPr>
                <w:sz w:val="36"/>
                <w:szCs w:val="36"/>
              </w:rPr>
            </w:pPr>
          </w:p>
          <w:tbl>
            <w:tblPr>
              <w:tblW w:w="0" w:type="auto"/>
              <w:tblLook w:val="04A0" w:firstRow="1" w:lastRow="0" w:firstColumn="1" w:lastColumn="0" w:noHBand="0" w:noVBand="1"/>
            </w:tblPr>
            <w:tblGrid>
              <w:gridCol w:w="2410"/>
            </w:tblGrid>
            <w:tr w:rsidR="410811A1" w:rsidRPr="009F3EE8" w14:paraId="7C027FBC" w14:textId="77777777" w:rsidTr="005D117C">
              <w:tc>
                <w:tcPr>
                  <w:tcW w:w="2410" w:type="dxa"/>
                  <w:vAlign w:val="center"/>
                </w:tcPr>
                <w:p w14:paraId="27F0292C" w14:textId="77777777" w:rsidR="000A55A4" w:rsidRPr="00000DE2" w:rsidRDefault="000A55A4" w:rsidP="005D117C">
                  <w:pPr>
                    <w:spacing w:after="0" w:line="240" w:lineRule="auto"/>
                    <w:jc w:val="center"/>
                    <w:rPr>
                      <w:b/>
                      <w:bCs/>
                      <w:lang w:bidi="ar-BH"/>
                    </w:rPr>
                  </w:pPr>
                  <w:r w:rsidRPr="00000DE2">
                    <w:rPr>
                      <w:b/>
                      <w:bCs/>
                      <w:lang w:bidi="ar-BH"/>
                    </w:rPr>
                    <w:t>Chapter 7</w:t>
                  </w:r>
                </w:p>
                <w:p w14:paraId="04733FDE" w14:textId="43684C7C" w:rsidR="410811A1" w:rsidRPr="009F3EE8" w:rsidRDefault="000A55A4" w:rsidP="005D117C">
                  <w:pPr>
                    <w:spacing w:after="0"/>
                    <w:jc w:val="center"/>
                    <w:rPr>
                      <w:rFonts w:eastAsia="Calibri"/>
                    </w:rPr>
                  </w:pPr>
                  <w:r w:rsidRPr="00000DE2">
                    <w:rPr>
                      <w:lang w:bidi="ar-BH"/>
                    </w:rPr>
                    <w:t>Cash and Receivables</w:t>
                  </w:r>
                </w:p>
              </w:tc>
            </w:tr>
          </w:tbl>
          <w:p w14:paraId="32545443" w14:textId="76738116" w:rsidR="002352D4" w:rsidRPr="009F3EE8" w:rsidRDefault="002352D4" w:rsidP="410811A1">
            <w:pPr>
              <w:bidi w:val="0"/>
              <w:jc w:val="center"/>
              <w:rPr>
                <w:rFonts w:cstheme="minorHAnsi"/>
                <w:b w:val="0"/>
                <w:bCs w:val="0"/>
                <w:lang w:bidi="ar-BH"/>
              </w:rPr>
            </w:pPr>
          </w:p>
        </w:tc>
        <w:tc>
          <w:tcPr>
            <w:tcW w:w="3522" w:type="pct"/>
            <w:shd w:val="clear" w:color="auto" w:fill="FFFFFF" w:themeFill="background1"/>
          </w:tcPr>
          <w:tbl>
            <w:tblPr>
              <w:tblW w:w="0" w:type="auto"/>
              <w:tblLook w:val="04A0" w:firstRow="1" w:lastRow="0" w:firstColumn="1" w:lastColumn="0" w:noHBand="0" w:noVBand="1"/>
            </w:tblPr>
            <w:tblGrid>
              <w:gridCol w:w="6042"/>
            </w:tblGrid>
            <w:tr w:rsidR="410811A1" w:rsidRPr="009F3EE8" w14:paraId="724DD167" w14:textId="77777777" w:rsidTr="729237F4">
              <w:tc>
                <w:tcPr>
                  <w:tcW w:w="6045" w:type="dxa"/>
                </w:tcPr>
                <w:p w14:paraId="322D6DFF" w14:textId="4FFBF9E6" w:rsidR="410811A1" w:rsidRPr="009F3EE8" w:rsidRDefault="000A55A4" w:rsidP="000A55A4">
                  <w:pPr>
                    <w:jc w:val="right"/>
                    <w:rPr>
                      <w:rFonts w:eastAsia="Calibri"/>
                    </w:rPr>
                  </w:pPr>
                  <w:r w:rsidRPr="00000DE2">
                    <w:t>Many issues related to identification of items of cash and how to report them are explained and discussed. Also, many issues, such as recognition, valuation and derecognition, of accounts and notes receivable are explained.</w:t>
                  </w:r>
                </w:p>
              </w:tc>
            </w:tr>
          </w:tbl>
          <w:p w14:paraId="683156CB" w14:textId="5B5B0306" w:rsidR="002352D4" w:rsidRPr="009F3EE8" w:rsidRDefault="002352D4" w:rsidP="410811A1">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p>
        </w:tc>
      </w:tr>
      <w:tr w:rsidR="410811A1" w:rsidRPr="009F3EE8" w14:paraId="2D1A2294" w14:textId="77777777" w:rsidTr="005D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shd w:val="clear" w:color="auto" w:fill="FFFFFF" w:themeFill="background1"/>
            <w:vAlign w:val="center"/>
          </w:tcPr>
          <w:p w14:paraId="0EF28FCF" w14:textId="77777777" w:rsidR="0062377E" w:rsidRPr="00000DE2" w:rsidRDefault="0062377E" w:rsidP="005D117C">
            <w:pPr>
              <w:jc w:val="center"/>
              <w:rPr>
                <w:b w:val="0"/>
                <w:bCs w:val="0"/>
                <w:lang w:bidi="ar-BH"/>
              </w:rPr>
            </w:pPr>
            <w:r w:rsidRPr="00000DE2">
              <w:rPr>
                <w:lang w:bidi="ar-BH"/>
              </w:rPr>
              <w:t>Chapter 9</w:t>
            </w:r>
          </w:p>
          <w:p w14:paraId="5319CBCF" w14:textId="0A83BA24" w:rsidR="41719297" w:rsidRPr="0062377E" w:rsidRDefault="0062377E" w:rsidP="005D117C">
            <w:pPr>
              <w:spacing w:line="276" w:lineRule="auto"/>
              <w:jc w:val="center"/>
              <w:rPr>
                <w:rFonts w:eastAsia="Calibri"/>
                <w:b w:val="0"/>
                <w:bCs w:val="0"/>
              </w:rPr>
            </w:pPr>
            <w:r w:rsidRPr="0062377E">
              <w:rPr>
                <w:b w:val="0"/>
                <w:bCs w:val="0"/>
                <w:lang w:bidi="ar-BH"/>
              </w:rPr>
              <w:t>Inventories: Additional Valuation Issues</w:t>
            </w:r>
          </w:p>
        </w:tc>
        <w:tc>
          <w:tcPr>
            <w:tcW w:w="6258" w:type="dxa"/>
            <w:shd w:val="clear" w:color="auto" w:fill="FFFFFF" w:themeFill="background1"/>
          </w:tcPr>
          <w:p w14:paraId="138A769F" w14:textId="77777777" w:rsidR="0062377E" w:rsidRPr="00000DE2" w:rsidRDefault="0062377E" w:rsidP="0062377E">
            <w:pPr>
              <w:pStyle w:val="ListParagraph"/>
              <w:bidi w:val="0"/>
              <w:ind w:left="0"/>
              <w:cnfStyle w:val="000000100000" w:firstRow="0" w:lastRow="0" w:firstColumn="0" w:lastColumn="0" w:oddVBand="0" w:evenVBand="0" w:oddHBand="1" w:evenHBand="0" w:firstRowFirstColumn="0" w:firstRowLastColumn="0" w:lastRowFirstColumn="0" w:lastRowLastColumn="0"/>
            </w:pPr>
            <w:r w:rsidRPr="00000DE2">
              <w:t>The application of the lower-of-cost-or-net realizable value rule is explained.</w:t>
            </w:r>
          </w:p>
          <w:p w14:paraId="6589A1AC" w14:textId="41F567C9" w:rsidR="41719297" w:rsidRPr="009F3EE8" w:rsidRDefault="0062377E" w:rsidP="0062377E">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000DE2">
              <w:t>Further, an explanation of how to estimate ending inventory by utilizing gross profit and retail inventory methods is provided. Reporting and an</w:t>
            </w:r>
            <w:r>
              <w:t>alyzing inventory is discussed.</w:t>
            </w:r>
          </w:p>
        </w:tc>
      </w:tr>
      <w:tr w:rsidR="410811A1" w:rsidRPr="009F3EE8" w14:paraId="55840D93" w14:textId="77777777" w:rsidTr="005D117C">
        <w:tc>
          <w:tcPr>
            <w:cnfStyle w:val="001000000000" w:firstRow="0" w:lastRow="0" w:firstColumn="1" w:lastColumn="0" w:oddVBand="0" w:evenVBand="0" w:oddHBand="0" w:evenHBand="0" w:firstRowFirstColumn="0" w:firstRowLastColumn="0" w:lastRowFirstColumn="0" w:lastRowLastColumn="0"/>
            <w:tcW w:w="2626" w:type="dxa"/>
            <w:shd w:val="clear" w:color="auto" w:fill="FFFFFF" w:themeFill="background1"/>
            <w:vAlign w:val="center"/>
          </w:tcPr>
          <w:p w14:paraId="53E96963" w14:textId="77777777" w:rsidR="0062377E" w:rsidRPr="00000DE2" w:rsidRDefault="0062377E" w:rsidP="005D117C">
            <w:pPr>
              <w:jc w:val="center"/>
              <w:rPr>
                <w:b w:val="0"/>
                <w:bCs w:val="0"/>
                <w:lang w:bidi="ar-BH"/>
              </w:rPr>
            </w:pPr>
            <w:r w:rsidRPr="00000DE2">
              <w:rPr>
                <w:lang w:bidi="ar-BH"/>
              </w:rPr>
              <w:t>Chapter 10</w:t>
            </w:r>
          </w:p>
          <w:p w14:paraId="3E48FF69" w14:textId="3C7CDE05" w:rsidR="72D2C3FD" w:rsidRPr="0062377E" w:rsidRDefault="0062377E" w:rsidP="005D117C">
            <w:pPr>
              <w:spacing w:line="276" w:lineRule="auto"/>
              <w:jc w:val="center"/>
              <w:rPr>
                <w:rFonts w:eastAsia="Calibri"/>
                <w:b w:val="0"/>
                <w:bCs w:val="0"/>
              </w:rPr>
            </w:pPr>
            <w:r w:rsidRPr="0062377E">
              <w:rPr>
                <w:b w:val="0"/>
                <w:bCs w:val="0"/>
                <w:lang w:bidi="ar-BH"/>
              </w:rPr>
              <w:t>Acquisition and Disposition of Property, Plant, and Equipment</w:t>
            </w:r>
          </w:p>
        </w:tc>
        <w:tc>
          <w:tcPr>
            <w:tcW w:w="6258" w:type="dxa"/>
            <w:shd w:val="clear" w:color="auto" w:fill="FFFFFF" w:themeFill="background1"/>
            <w:vAlign w:val="center"/>
          </w:tcPr>
          <w:p w14:paraId="4290C40C" w14:textId="445A6535" w:rsidR="3DCB5891" w:rsidRPr="009F3EE8" w:rsidRDefault="0062377E" w:rsidP="0062377E">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000DE2">
              <w:t>Accounting treatments of major events related to property, plant, and equipment assets are elaborated and highlighted. These major events include acquisition and disposal of plant assets.</w:t>
            </w:r>
          </w:p>
        </w:tc>
      </w:tr>
      <w:tr w:rsidR="0062377E" w:rsidRPr="009F3EE8" w14:paraId="5F851D2A" w14:textId="77777777" w:rsidTr="005D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shd w:val="clear" w:color="auto" w:fill="FFFFFF" w:themeFill="background1"/>
            <w:vAlign w:val="center"/>
          </w:tcPr>
          <w:p w14:paraId="39FA67EC" w14:textId="77777777" w:rsidR="0062377E" w:rsidRPr="00000DE2" w:rsidRDefault="0062377E" w:rsidP="0062377E">
            <w:pPr>
              <w:jc w:val="center"/>
              <w:rPr>
                <w:b w:val="0"/>
                <w:bCs w:val="0"/>
                <w:lang w:bidi="ar-BH"/>
              </w:rPr>
            </w:pPr>
            <w:r w:rsidRPr="00000DE2">
              <w:rPr>
                <w:lang w:bidi="ar-BH"/>
              </w:rPr>
              <w:t>Chapter 12</w:t>
            </w:r>
          </w:p>
          <w:p w14:paraId="7C34C72F" w14:textId="5671AE90" w:rsidR="0062377E" w:rsidRPr="0062377E" w:rsidRDefault="0062377E" w:rsidP="0062377E">
            <w:pPr>
              <w:jc w:val="center"/>
              <w:rPr>
                <w:rFonts w:eastAsia="Calibri"/>
                <w:b w:val="0"/>
                <w:bCs w:val="0"/>
              </w:rPr>
            </w:pPr>
            <w:r w:rsidRPr="0062377E">
              <w:rPr>
                <w:b w:val="0"/>
                <w:bCs w:val="0"/>
                <w:lang w:bidi="ar-BH"/>
              </w:rPr>
              <w:t>Intangible Assets</w:t>
            </w:r>
          </w:p>
        </w:tc>
        <w:tc>
          <w:tcPr>
            <w:tcW w:w="6258" w:type="dxa"/>
            <w:shd w:val="clear" w:color="auto" w:fill="FFFFFF" w:themeFill="background1"/>
          </w:tcPr>
          <w:p w14:paraId="0FCA50A9" w14:textId="40BFB3FA" w:rsidR="0062377E" w:rsidRPr="009F3EE8" w:rsidRDefault="0062377E" w:rsidP="0062377E">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000DE2">
              <w:t>Explanation of how to recognize acquisition of intangible assets in accounting records is provided. Amortization expense and impairment loss issues are discussed.  Further, accounting for research and development expenditures is spelled out.</w:t>
            </w:r>
          </w:p>
        </w:tc>
      </w:tr>
      <w:tr w:rsidR="0062377E" w:rsidRPr="009F3EE8" w14:paraId="747DD998" w14:textId="77777777" w:rsidTr="729237F4">
        <w:tc>
          <w:tcPr>
            <w:cnfStyle w:val="001000000000" w:firstRow="0" w:lastRow="0" w:firstColumn="1" w:lastColumn="0" w:oddVBand="0" w:evenVBand="0" w:oddHBand="0" w:evenHBand="0" w:firstRowFirstColumn="0" w:firstRowLastColumn="0" w:lastRowFirstColumn="0" w:lastRowLastColumn="0"/>
            <w:tcW w:w="2626" w:type="dxa"/>
            <w:shd w:val="clear" w:color="auto" w:fill="FFFFFF" w:themeFill="background1"/>
          </w:tcPr>
          <w:p w14:paraId="305A383B" w14:textId="77777777" w:rsidR="0062377E" w:rsidRPr="006B0DB5" w:rsidRDefault="0062377E" w:rsidP="0062377E">
            <w:pPr>
              <w:jc w:val="center"/>
              <w:rPr>
                <w:b w:val="0"/>
                <w:bCs w:val="0"/>
              </w:rPr>
            </w:pPr>
            <w:r w:rsidRPr="006B0DB5">
              <w:t>Chapter 23</w:t>
            </w:r>
          </w:p>
          <w:p w14:paraId="107C36FE" w14:textId="102BF57F" w:rsidR="0062377E" w:rsidRPr="0062377E" w:rsidRDefault="0062377E" w:rsidP="0062377E">
            <w:pPr>
              <w:jc w:val="center"/>
              <w:rPr>
                <w:rFonts w:eastAsia="Calibri"/>
                <w:b w:val="0"/>
                <w:bCs w:val="0"/>
              </w:rPr>
            </w:pPr>
            <w:r w:rsidRPr="0062377E">
              <w:rPr>
                <w:b w:val="0"/>
                <w:bCs w:val="0"/>
              </w:rPr>
              <w:t>Statement of Cash Flows</w:t>
            </w:r>
          </w:p>
        </w:tc>
        <w:tc>
          <w:tcPr>
            <w:tcW w:w="6258" w:type="dxa"/>
            <w:shd w:val="clear" w:color="auto" w:fill="FFFFFF" w:themeFill="background1"/>
          </w:tcPr>
          <w:p w14:paraId="08565EC1" w14:textId="18C82FA9" w:rsidR="0062377E" w:rsidRPr="009F3EE8" w:rsidRDefault="0062377E" w:rsidP="0062377E">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6B0DB5">
              <w:t>Discussion of the purpose of the statement of cash flow. Explain how to prepare Cash flow statement using the Direct method.</w:t>
            </w:r>
          </w:p>
        </w:tc>
      </w:tr>
    </w:tbl>
    <w:p w14:paraId="01498576" w14:textId="77777777" w:rsidR="004C48D7" w:rsidRPr="00A47349" w:rsidRDefault="004C48D7" w:rsidP="004C48D7">
      <w:pPr>
        <w:bidi w:val="0"/>
        <w:rPr>
          <w:rFonts w:cstheme="minorHAnsi"/>
          <w:sz w:val="28"/>
          <w:szCs w:val="28"/>
        </w:rPr>
      </w:pPr>
    </w:p>
    <w:tbl>
      <w:tblPr>
        <w:tblStyle w:val="MediumGrid1-Accent1"/>
        <w:tblW w:w="8911" w:type="dxa"/>
        <w:tblInd w:w="-72" w:type="dxa"/>
        <w:tblLook w:val="01E0" w:firstRow="1" w:lastRow="1" w:firstColumn="1" w:lastColumn="1" w:noHBand="0" w:noVBand="0"/>
      </w:tblPr>
      <w:tblGrid>
        <w:gridCol w:w="722"/>
        <w:gridCol w:w="1859"/>
        <w:gridCol w:w="2179"/>
        <w:gridCol w:w="1062"/>
        <w:gridCol w:w="1743"/>
        <w:gridCol w:w="1346"/>
      </w:tblGrid>
      <w:tr w:rsidR="00C42606" w:rsidRPr="009F3EE8" w14:paraId="7C328D4B" w14:textId="77777777" w:rsidTr="00A473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p>
        </w:tc>
      </w:tr>
      <w:tr w:rsidR="00FA2162" w:rsidRPr="009F3EE8" w14:paraId="1C6858BE" w14:textId="77777777" w:rsidTr="00D0776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22" w:type="dxa"/>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1859" w:type="dxa"/>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2179" w:type="dxa"/>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1062" w:type="dxa"/>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743" w:type="dxa"/>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46" w:type="dxa"/>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A47349" w:rsidRPr="009F3EE8" w14:paraId="0B2927E3" w14:textId="77777777" w:rsidTr="00D07761">
        <w:trPr>
          <w:trHeight w:val="661"/>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548DD4" w:themeColor="text2" w:themeTint="99"/>
              <w:bottom w:val="single" w:sz="8" w:space="0" w:color="7BA0CD" w:themeColor="accent1" w:themeTint="BF"/>
            </w:tcBorders>
            <w:shd w:val="clear" w:color="auto" w:fill="FFFFFF" w:themeFill="background1"/>
            <w:vAlign w:val="center"/>
          </w:tcPr>
          <w:p w14:paraId="6A212BD7" w14:textId="77777777" w:rsidR="00A47349" w:rsidRPr="009F3EE8" w:rsidRDefault="00A47349" w:rsidP="002352D4">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1859" w:type="dxa"/>
            <w:vMerge w:val="restart"/>
            <w:tcBorders>
              <w:top w:val="single" w:sz="4" w:space="0" w:color="548DD4" w:themeColor="text2" w:themeTint="99"/>
              <w:bottom w:val="single" w:sz="8" w:space="0" w:color="7BA0CD" w:themeColor="accent1" w:themeTint="BF"/>
            </w:tcBorders>
            <w:shd w:val="clear" w:color="auto" w:fill="FFFFFF" w:themeFill="background1"/>
            <w:vAlign w:val="center"/>
          </w:tcPr>
          <w:p w14:paraId="159BC780" w14:textId="20C79BEA" w:rsidR="00A47349" w:rsidRPr="009F3EE8" w:rsidRDefault="00A47349" w:rsidP="00A47349">
            <w:pPr>
              <w:spacing w:line="276" w:lineRule="auto"/>
              <w:jc w:val="center"/>
              <w:rPr>
                <w:rFonts w:eastAsia="Calibri"/>
              </w:rPr>
            </w:pPr>
            <w:r>
              <w:rPr>
                <w:rFonts w:eastAsia="Calibri"/>
              </w:rPr>
              <w:t>7 – 18 Feb.</w:t>
            </w:r>
          </w:p>
        </w:tc>
        <w:tc>
          <w:tcPr>
            <w:tcW w:w="2179" w:type="dxa"/>
            <w:vMerge w:val="restart"/>
            <w:tcBorders>
              <w:top w:val="single" w:sz="4" w:space="0" w:color="548DD4" w:themeColor="text2" w:themeTint="99"/>
              <w:bottom w:val="single" w:sz="8" w:space="0" w:color="7BA0CD" w:themeColor="accent1" w:themeTint="BF"/>
            </w:tcBorders>
            <w:shd w:val="clear" w:color="auto" w:fill="FFFFFF" w:themeFill="background1"/>
            <w:vAlign w:val="center"/>
          </w:tcPr>
          <w:p w14:paraId="0066A65F" w14:textId="6784BA1B" w:rsidR="00A47349" w:rsidRPr="00000DE2" w:rsidRDefault="00A47349" w:rsidP="00A47349">
            <w:pPr>
              <w:jc w:val="center"/>
              <w:cnfStyle w:val="000000000000" w:firstRow="0" w:lastRow="0" w:firstColumn="0" w:lastColumn="0" w:oddVBand="0" w:evenVBand="0" w:oddHBand="0" w:evenHBand="0" w:firstRowFirstColumn="0" w:firstRowLastColumn="0" w:lastRowFirstColumn="0" w:lastRowLastColumn="0"/>
              <w:rPr>
                <w:b/>
                <w:bCs/>
                <w:lang w:bidi="ar-BH"/>
              </w:rPr>
            </w:pPr>
            <w:r w:rsidRPr="00000DE2">
              <w:rPr>
                <w:b/>
                <w:bCs/>
                <w:lang w:bidi="ar-BH"/>
              </w:rPr>
              <w:t>Chapter 10</w:t>
            </w:r>
          </w:p>
          <w:p w14:paraId="14413EA9" w14:textId="255BDC2F" w:rsidR="00A47349" w:rsidRPr="009F3EE8" w:rsidRDefault="00A47349" w:rsidP="00A47349">
            <w:pPr>
              <w:bidi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DA2DE1">
              <w:rPr>
                <w:lang w:bidi="ar-BH"/>
              </w:rPr>
              <w:t>Acquisition and Disposition of Property, Plant, and Equipment</w:t>
            </w:r>
            <w:r w:rsidRPr="009F3EE8">
              <w:rPr>
                <w:rFonts w:eastAsia="Calibr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1062" w:type="dxa"/>
            <w:vMerge w:val="restart"/>
            <w:tcBorders>
              <w:top w:val="single" w:sz="4" w:space="0" w:color="548DD4" w:themeColor="text2" w:themeTint="99"/>
              <w:bottom w:val="single" w:sz="8" w:space="0" w:color="7BA0CD" w:themeColor="accent1" w:themeTint="BF"/>
            </w:tcBorders>
            <w:shd w:val="clear" w:color="auto" w:fill="FFFFFF" w:themeFill="background1"/>
            <w:vAlign w:val="center"/>
          </w:tcPr>
          <w:p w14:paraId="260DA5F9" w14:textId="6B310046" w:rsidR="00A47349" w:rsidRPr="009F3EE8" w:rsidRDefault="00A47349" w:rsidP="00A47349">
            <w:pPr>
              <w:bidi w:val="0"/>
              <w:jc w:val="center"/>
              <w:rPr>
                <w:rFonts w:eastAsia="Calibri"/>
              </w:rPr>
            </w:pPr>
            <w:r w:rsidRPr="729237F4">
              <w:rPr>
                <w:rFonts w:eastAsia="Calibri"/>
              </w:rPr>
              <w:t xml:space="preserve"> </w:t>
            </w:r>
            <w:r>
              <w:rPr>
                <w:rFonts w:eastAsia="Calibri"/>
              </w:rPr>
              <w:t>1, 2</w:t>
            </w:r>
          </w:p>
        </w:tc>
        <w:tc>
          <w:tcPr>
            <w:tcW w:w="1743" w:type="dxa"/>
            <w:vMerge w:val="restart"/>
            <w:tcBorders>
              <w:top w:val="single" w:sz="4" w:space="0" w:color="548DD4" w:themeColor="text2" w:themeTint="99"/>
              <w:bottom w:val="single" w:sz="8" w:space="0" w:color="7BA0CD" w:themeColor="accent1" w:themeTint="BF"/>
            </w:tcBorders>
            <w:shd w:val="clear" w:color="auto" w:fill="FFFFFF" w:themeFill="background1"/>
            <w:vAlign w:val="center"/>
          </w:tcPr>
          <w:p w14:paraId="74A50D5B" w14:textId="770509D7" w:rsidR="00A47349" w:rsidRPr="00A47349" w:rsidRDefault="00A47349" w:rsidP="00A47349">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A47349">
              <w:rPr>
                <w:rFonts w:cstheme="minorHAnsi"/>
                <w:lang w:bidi="ar-BH"/>
              </w:rPr>
              <w:t>Lectures</w:t>
            </w:r>
          </w:p>
        </w:tc>
        <w:tc>
          <w:tcPr>
            <w:cnfStyle w:val="000100000000" w:firstRow="0" w:lastRow="0" w:firstColumn="0" w:lastColumn="1" w:oddVBand="0" w:evenVBand="0" w:oddHBand="0" w:evenHBand="0" w:firstRowFirstColumn="0" w:firstRowLastColumn="0" w:lastRowFirstColumn="0" w:lastRowLastColumn="0"/>
            <w:tcW w:w="1346" w:type="dxa"/>
            <w:vMerge w:val="restart"/>
            <w:tcBorders>
              <w:top w:val="single" w:sz="4" w:space="0" w:color="548DD4" w:themeColor="text2" w:themeTint="99"/>
              <w:bottom w:val="single" w:sz="8" w:space="0" w:color="7BA0CD" w:themeColor="accent1" w:themeTint="BF"/>
            </w:tcBorders>
            <w:shd w:val="clear" w:color="auto" w:fill="FFFFFF" w:themeFill="background1"/>
            <w:vAlign w:val="center"/>
          </w:tcPr>
          <w:p w14:paraId="7AFE5C55" w14:textId="7DB38998" w:rsidR="00A47349" w:rsidRPr="00A47349" w:rsidRDefault="00A47349" w:rsidP="00A47349">
            <w:pPr>
              <w:spacing w:line="276" w:lineRule="auto"/>
              <w:jc w:val="center"/>
              <w:rPr>
                <w:i/>
                <w:iCs/>
                <w:lang w:bidi="ar-BH"/>
              </w:rPr>
            </w:pPr>
            <w:r w:rsidRPr="00A47349">
              <w:rPr>
                <w:i/>
                <w:iCs/>
                <w:lang w:bidi="ar-BH"/>
              </w:rPr>
              <w:t>Quiz (1)</w:t>
            </w:r>
          </w:p>
        </w:tc>
      </w:tr>
      <w:tr w:rsidR="00A47349" w:rsidRPr="009F3EE8" w14:paraId="2997F884" w14:textId="77777777" w:rsidTr="00D0776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44EBDE72" w14:textId="77777777" w:rsidR="00A47349" w:rsidRPr="009F3EE8" w:rsidRDefault="00A47349" w:rsidP="00050A8F">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1859" w:type="dxa"/>
            <w:vMerge/>
            <w:tcBorders>
              <w:bottom w:val="single" w:sz="8" w:space="0" w:color="7BA0CD" w:themeColor="accent1" w:themeTint="BF"/>
            </w:tcBorders>
            <w:shd w:val="clear" w:color="auto" w:fill="FFFFFF" w:themeFill="background1"/>
            <w:vAlign w:val="center"/>
          </w:tcPr>
          <w:p w14:paraId="27C190FC" w14:textId="289C54E7" w:rsidR="00A47349" w:rsidRPr="009F3EE8" w:rsidRDefault="00A47349" w:rsidP="729237F4">
            <w:pPr>
              <w:spacing w:after="200" w:line="276" w:lineRule="auto"/>
              <w:jc w:val="center"/>
              <w:rPr>
                <w:rFonts w:eastAsia="Calibri"/>
              </w:rPr>
            </w:pPr>
          </w:p>
        </w:tc>
        <w:tc>
          <w:tcPr>
            <w:tcW w:w="2179" w:type="dxa"/>
            <w:vMerge/>
            <w:tcBorders>
              <w:bottom w:val="single" w:sz="8" w:space="0" w:color="7BA0CD" w:themeColor="accent1" w:themeTint="BF"/>
            </w:tcBorders>
            <w:shd w:val="clear" w:color="auto" w:fill="FFFFFF" w:themeFill="background1"/>
            <w:vAlign w:val="center"/>
          </w:tcPr>
          <w:p w14:paraId="47E3D7A8" w14:textId="516FF0B7" w:rsidR="00A47349" w:rsidRPr="009F3EE8" w:rsidRDefault="00A47349"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062" w:type="dxa"/>
            <w:vMerge/>
            <w:tcBorders>
              <w:bottom w:val="single" w:sz="8" w:space="0" w:color="7BA0CD" w:themeColor="accent1" w:themeTint="BF"/>
            </w:tcBorders>
            <w:shd w:val="clear" w:color="auto" w:fill="FFFFFF" w:themeFill="background1"/>
            <w:vAlign w:val="center"/>
          </w:tcPr>
          <w:p w14:paraId="0AD52625" w14:textId="4B470859" w:rsidR="00A47349" w:rsidRPr="009F3EE8" w:rsidRDefault="00A47349" w:rsidP="729237F4">
            <w:pPr>
              <w:bidi w:val="0"/>
              <w:jc w:val="center"/>
            </w:pPr>
          </w:p>
        </w:tc>
        <w:tc>
          <w:tcPr>
            <w:tcW w:w="1743" w:type="dxa"/>
            <w:vMerge/>
            <w:tcBorders>
              <w:bottom w:val="single" w:sz="8" w:space="0" w:color="7BA0CD" w:themeColor="accent1" w:themeTint="BF"/>
            </w:tcBorders>
            <w:shd w:val="clear" w:color="auto" w:fill="FFFFFF" w:themeFill="background1"/>
            <w:vAlign w:val="center"/>
          </w:tcPr>
          <w:p w14:paraId="2E251250" w14:textId="77777777" w:rsidR="00A47349" w:rsidRPr="009F3EE8" w:rsidRDefault="00A47349"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tcBorders>
              <w:bottom w:val="single" w:sz="8" w:space="0" w:color="7BA0CD" w:themeColor="accent1" w:themeTint="BF"/>
            </w:tcBorders>
            <w:shd w:val="clear" w:color="auto" w:fill="FFFFFF" w:themeFill="background1"/>
            <w:vAlign w:val="center"/>
          </w:tcPr>
          <w:p w14:paraId="5F3C5BBB" w14:textId="1BDD4427" w:rsidR="00A47349" w:rsidRPr="009F3EE8" w:rsidRDefault="00A47349" w:rsidP="729237F4">
            <w:pPr>
              <w:spacing w:after="200" w:line="276" w:lineRule="auto"/>
              <w:jc w:val="center"/>
              <w:rPr>
                <w:b w:val="0"/>
                <w:bCs w:val="0"/>
                <w:i/>
                <w:iCs/>
                <w:sz w:val="20"/>
                <w:szCs w:val="20"/>
                <w:lang w:bidi="ar-BH"/>
              </w:rPr>
            </w:pPr>
          </w:p>
        </w:tc>
      </w:tr>
      <w:tr w:rsidR="00A47349" w:rsidRPr="009F3EE8" w14:paraId="5D0BADA6" w14:textId="77777777" w:rsidTr="00D07761">
        <w:trPr>
          <w:trHeight w:val="671"/>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4625A2CA" w14:textId="77777777" w:rsidR="00A47349" w:rsidRPr="009F3EE8" w:rsidRDefault="00A47349" w:rsidP="00A47349">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1859" w:type="dxa"/>
            <w:tcBorders>
              <w:bottom w:val="single" w:sz="8" w:space="0" w:color="7BA0CD" w:themeColor="accent1" w:themeTint="BF"/>
            </w:tcBorders>
            <w:shd w:val="clear" w:color="auto" w:fill="FFFFFF" w:themeFill="background1"/>
            <w:vAlign w:val="center"/>
          </w:tcPr>
          <w:p w14:paraId="2CE2FA1F" w14:textId="55D17CC5" w:rsidR="00A47349" w:rsidRPr="009F3EE8" w:rsidRDefault="00A47349" w:rsidP="00A47349">
            <w:pPr>
              <w:bidi w:val="0"/>
              <w:jc w:val="center"/>
              <w:rPr>
                <w:rFonts w:cstheme="minorHAnsi"/>
                <w:sz w:val="20"/>
                <w:szCs w:val="20"/>
                <w:lang w:bidi="ar-BH"/>
              </w:rPr>
            </w:pPr>
            <w:r>
              <w:rPr>
                <w:rFonts w:cstheme="minorHAnsi"/>
                <w:sz w:val="20"/>
                <w:szCs w:val="20"/>
                <w:lang w:bidi="ar-BH"/>
              </w:rPr>
              <w:t>21 – 25 Feb.</w:t>
            </w:r>
          </w:p>
        </w:tc>
        <w:tc>
          <w:tcPr>
            <w:tcW w:w="2179" w:type="dxa"/>
            <w:tcBorders>
              <w:bottom w:val="single" w:sz="8" w:space="0" w:color="7BA0CD" w:themeColor="accent1" w:themeTint="BF"/>
            </w:tcBorders>
            <w:shd w:val="clear" w:color="auto" w:fill="FFFFFF" w:themeFill="background1"/>
            <w:vAlign w:val="center"/>
          </w:tcPr>
          <w:p w14:paraId="428177AF" w14:textId="77777777" w:rsidR="00A47349" w:rsidRPr="00000DE2" w:rsidRDefault="00A47349" w:rsidP="00A47349">
            <w:pPr>
              <w:jc w:val="center"/>
              <w:cnfStyle w:val="000000000000" w:firstRow="0" w:lastRow="0" w:firstColumn="0" w:lastColumn="0" w:oddVBand="0" w:evenVBand="0" w:oddHBand="0" w:evenHBand="0" w:firstRowFirstColumn="0" w:firstRowLastColumn="0" w:lastRowFirstColumn="0" w:lastRowLastColumn="0"/>
              <w:rPr>
                <w:b/>
                <w:bCs/>
                <w:iCs/>
              </w:rPr>
            </w:pPr>
            <w:r w:rsidRPr="00000DE2">
              <w:rPr>
                <w:b/>
                <w:bCs/>
                <w:iCs/>
              </w:rPr>
              <w:t>Chapter 1</w:t>
            </w:r>
          </w:p>
          <w:p w14:paraId="1AA24FD4" w14:textId="7BD9566D" w:rsidR="00A47349" w:rsidRPr="00A47349" w:rsidRDefault="00A47349" w:rsidP="00A4734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A47349">
              <w:rPr>
                <w:iCs/>
              </w:rPr>
              <w:t>Financial Reporting and Accounting Standards</w:t>
            </w:r>
          </w:p>
        </w:tc>
        <w:tc>
          <w:tcPr>
            <w:cnfStyle w:val="000010000000" w:firstRow="0" w:lastRow="0" w:firstColumn="0" w:lastColumn="0" w:oddVBand="1" w:evenVBand="0" w:oddHBand="0" w:evenHBand="0" w:firstRowFirstColumn="0" w:firstRowLastColumn="0" w:lastRowFirstColumn="0" w:lastRowLastColumn="0"/>
            <w:tcW w:w="1062" w:type="dxa"/>
            <w:tcBorders>
              <w:bottom w:val="single" w:sz="8" w:space="0" w:color="7BA0CD" w:themeColor="accent1" w:themeTint="BF"/>
            </w:tcBorders>
            <w:shd w:val="clear" w:color="auto" w:fill="FFFFFF" w:themeFill="background1"/>
            <w:vAlign w:val="center"/>
          </w:tcPr>
          <w:p w14:paraId="5FDD4650" w14:textId="258C367F" w:rsidR="00A47349" w:rsidRPr="009F3EE8" w:rsidRDefault="00A47349" w:rsidP="00A47349">
            <w:pPr>
              <w:bidi w:val="0"/>
              <w:spacing w:after="200" w:line="276" w:lineRule="auto"/>
              <w:jc w:val="center"/>
              <w:rPr>
                <w:rFonts w:eastAsia="Calibri"/>
              </w:rPr>
            </w:pPr>
            <w:r>
              <w:rPr>
                <w:rFonts w:eastAsia="Calibri"/>
              </w:rPr>
              <w:t>1</w:t>
            </w:r>
          </w:p>
        </w:tc>
        <w:tc>
          <w:tcPr>
            <w:tcW w:w="1743" w:type="dxa"/>
            <w:tcBorders>
              <w:bottom w:val="single" w:sz="8" w:space="0" w:color="7BA0CD" w:themeColor="accent1" w:themeTint="BF"/>
            </w:tcBorders>
            <w:shd w:val="clear" w:color="auto" w:fill="FFFFFF" w:themeFill="background1"/>
            <w:vAlign w:val="center"/>
          </w:tcPr>
          <w:p w14:paraId="46DF6426" w14:textId="3A17F4F1" w:rsidR="00A47349" w:rsidRPr="009F3EE8" w:rsidRDefault="00A47349" w:rsidP="00A47349">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A47349">
              <w:rPr>
                <w:rFonts w:cstheme="minorHAnsi"/>
                <w:lang w:bidi="ar-BH"/>
              </w:rPr>
              <w:t>Lectures</w:t>
            </w:r>
          </w:p>
        </w:tc>
        <w:tc>
          <w:tcPr>
            <w:cnfStyle w:val="000100000000" w:firstRow="0" w:lastRow="0" w:firstColumn="0" w:lastColumn="1" w:oddVBand="0" w:evenVBand="0" w:oddHBand="0" w:evenHBand="0" w:firstRowFirstColumn="0" w:firstRowLastColumn="0" w:lastRowFirstColumn="0" w:lastRowLastColumn="0"/>
            <w:tcW w:w="1346" w:type="dxa"/>
            <w:tcBorders>
              <w:bottom w:val="single" w:sz="8" w:space="0" w:color="7BA0CD" w:themeColor="accent1" w:themeTint="BF"/>
            </w:tcBorders>
            <w:shd w:val="clear" w:color="auto" w:fill="FFFFFF" w:themeFill="background1"/>
            <w:vAlign w:val="center"/>
          </w:tcPr>
          <w:p w14:paraId="0311CDAA" w14:textId="445C4A43" w:rsidR="00A47349" w:rsidRPr="009F3EE8" w:rsidRDefault="00A47349" w:rsidP="00A47349">
            <w:pPr>
              <w:bidi w:val="0"/>
              <w:jc w:val="center"/>
              <w:rPr>
                <w:rFonts w:cstheme="minorHAnsi"/>
                <w:i/>
                <w:iCs/>
                <w:sz w:val="20"/>
                <w:szCs w:val="20"/>
                <w:lang w:bidi="ar-BH"/>
              </w:rPr>
            </w:pPr>
            <w:r w:rsidRPr="00A47349">
              <w:rPr>
                <w:i/>
                <w:iCs/>
                <w:lang w:bidi="ar-BH"/>
              </w:rPr>
              <w:t>Quiz (</w:t>
            </w:r>
            <w:r>
              <w:rPr>
                <w:i/>
                <w:iCs/>
                <w:lang w:bidi="ar-BH"/>
              </w:rPr>
              <w:t>2</w:t>
            </w:r>
            <w:r w:rsidRPr="00A47349">
              <w:rPr>
                <w:i/>
                <w:iCs/>
                <w:lang w:bidi="ar-BH"/>
              </w:rPr>
              <w:t>)</w:t>
            </w:r>
          </w:p>
        </w:tc>
      </w:tr>
      <w:tr w:rsidR="00FA2162" w:rsidRPr="009F3EE8" w14:paraId="23FA4AC4" w14:textId="77777777" w:rsidTr="00D0776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722" w:type="dxa"/>
            <w:shd w:val="clear" w:color="B8CCE4" w:themeColor="accent1" w:themeTint="66" w:fill="F2F2F2" w:themeFill="background1" w:themeFillShade="F2"/>
            <w:vAlign w:val="center"/>
          </w:tcPr>
          <w:p w14:paraId="6267F48B" w14:textId="4A9985D5" w:rsidR="00E2563E" w:rsidRPr="00E2563E" w:rsidRDefault="00E2563E" w:rsidP="00E2563E">
            <w:pPr>
              <w:bidi w:val="0"/>
              <w:jc w:val="center"/>
              <w:rPr>
                <w:rFonts w:cstheme="minorHAnsi"/>
                <w:b w:val="0"/>
                <w:bCs w:val="0"/>
                <w:i/>
                <w:iCs/>
                <w:lang w:bidi="ar-BH"/>
              </w:rPr>
            </w:pPr>
            <w:r w:rsidRPr="009F3EE8">
              <w:rPr>
                <w:rFonts w:cstheme="minorHAnsi"/>
                <w:b w:val="0"/>
                <w:bCs w:val="0"/>
                <w:i/>
                <w:iCs/>
                <w:lang w:bidi="ar-BH"/>
              </w:rPr>
              <w:lastRenderedPageBreak/>
              <w:t>Week</w:t>
            </w:r>
          </w:p>
        </w:tc>
        <w:tc>
          <w:tcPr>
            <w:cnfStyle w:val="000010000000" w:firstRow="0" w:lastRow="0" w:firstColumn="0" w:lastColumn="0" w:oddVBand="1" w:evenVBand="0" w:oddHBand="0" w:evenHBand="0" w:firstRowFirstColumn="0" w:firstRowLastColumn="0" w:lastRowFirstColumn="0" w:lastRowLastColumn="0"/>
            <w:tcW w:w="1859" w:type="dxa"/>
            <w:shd w:val="clear" w:color="B8CCE4" w:themeColor="accent1" w:themeTint="66" w:fill="F2F2F2" w:themeFill="background1" w:themeFillShade="F2"/>
            <w:vAlign w:val="center"/>
          </w:tcPr>
          <w:p w14:paraId="491D58A1" w14:textId="7EB014A4" w:rsidR="00E2563E" w:rsidRPr="00E2563E" w:rsidRDefault="00E2563E" w:rsidP="00E2563E">
            <w:pPr>
              <w:jc w:val="center"/>
              <w:rPr>
                <w:rFonts w:cstheme="minorHAnsi"/>
                <w:i/>
                <w:iCs/>
                <w:lang w:bidi="ar-BH"/>
              </w:rPr>
            </w:pPr>
            <w:r w:rsidRPr="009F3EE8">
              <w:rPr>
                <w:rFonts w:cstheme="minorHAnsi"/>
                <w:i/>
                <w:iCs/>
                <w:lang w:bidi="ar-BH"/>
              </w:rPr>
              <w:t>Date</w:t>
            </w:r>
          </w:p>
        </w:tc>
        <w:tc>
          <w:tcPr>
            <w:tcW w:w="2179" w:type="dxa"/>
            <w:shd w:val="clear" w:color="B8CCE4" w:themeColor="accent1" w:themeTint="66" w:fill="F2F2F2" w:themeFill="background1" w:themeFillShade="F2"/>
            <w:vAlign w:val="center"/>
          </w:tcPr>
          <w:p w14:paraId="05DDF40E" w14:textId="4414D6BB" w:rsidR="00E2563E" w:rsidRPr="00E2563E" w:rsidRDefault="00E2563E" w:rsidP="00E2563E">
            <w:pPr>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1062" w:type="dxa"/>
            <w:shd w:val="clear" w:color="B8CCE4" w:themeColor="accent1" w:themeTint="66" w:fill="F2F2F2" w:themeFill="background1" w:themeFillShade="F2"/>
            <w:vAlign w:val="center"/>
          </w:tcPr>
          <w:p w14:paraId="2EE86F37" w14:textId="6E7EA736" w:rsidR="00E2563E" w:rsidRPr="00E2563E" w:rsidRDefault="00E2563E" w:rsidP="00E2563E">
            <w:pPr>
              <w:bidi w:val="0"/>
              <w:jc w:val="center"/>
              <w:rPr>
                <w:rFonts w:cstheme="minorHAnsi"/>
                <w:i/>
                <w:iCs/>
                <w:lang w:bidi="ar-BH"/>
              </w:rPr>
            </w:pPr>
            <w:r w:rsidRPr="009F3EE8">
              <w:rPr>
                <w:rFonts w:cstheme="minorHAnsi"/>
                <w:i/>
                <w:iCs/>
                <w:lang w:bidi="ar-BH"/>
              </w:rPr>
              <w:t>CILOs</w:t>
            </w:r>
          </w:p>
        </w:tc>
        <w:tc>
          <w:tcPr>
            <w:tcW w:w="1743" w:type="dxa"/>
            <w:shd w:val="clear" w:color="B8CCE4" w:themeColor="accent1" w:themeTint="66" w:fill="F2F2F2" w:themeFill="background1" w:themeFillShade="F2"/>
            <w:vAlign w:val="center"/>
          </w:tcPr>
          <w:p w14:paraId="25FF5850" w14:textId="0BE1B64F" w:rsidR="00E2563E" w:rsidRPr="00E2563E" w:rsidRDefault="00E2563E" w:rsidP="00E256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46" w:type="dxa"/>
            <w:shd w:val="clear" w:color="B8CCE4" w:themeColor="accent1" w:themeTint="66" w:fill="F2F2F2" w:themeFill="background1" w:themeFillShade="F2"/>
            <w:vAlign w:val="center"/>
          </w:tcPr>
          <w:p w14:paraId="4FEBCBE7" w14:textId="6D1BB98E" w:rsidR="00E2563E" w:rsidRPr="00E2563E" w:rsidRDefault="00E2563E" w:rsidP="00E2563E">
            <w:pPr>
              <w:bidi w:val="0"/>
              <w:jc w:val="center"/>
              <w:rPr>
                <w:rFonts w:cstheme="minorHAnsi"/>
                <w:b w:val="0"/>
                <w:bCs w:val="0"/>
                <w:i/>
                <w:iCs/>
                <w:lang w:bidi="ar-BH"/>
              </w:rPr>
            </w:pPr>
            <w:r w:rsidRPr="009F3EE8">
              <w:rPr>
                <w:rFonts w:cstheme="minorHAnsi"/>
                <w:b w:val="0"/>
                <w:bCs w:val="0"/>
                <w:i/>
                <w:iCs/>
                <w:lang w:bidi="ar-BH"/>
              </w:rPr>
              <w:t>Assessment</w:t>
            </w:r>
          </w:p>
        </w:tc>
      </w:tr>
      <w:tr w:rsidR="00B50686" w:rsidRPr="009F3EE8" w14:paraId="27E36FFE" w14:textId="77777777" w:rsidTr="00D07761">
        <w:trPr>
          <w:trHeight w:val="671"/>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vAlign w:val="center"/>
          </w:tcPr>
          <w:p w14:paraId="2411B0AB" w14:textId="77777777" w:rsidR="00B50686" w:rsidRPr="009F3EE8" w:rsidRDefault="00B50686" w:rsidP="00B50686">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1859" w:type="dxa"/>
            <w:vMerge w:val="restart"/>
            <w:shd w:val="clear" w:color="auto" w:fill="FFFFFF" w:themeFill="background1"/>
            <w:vAlign w:val="center"/>
          </w:tcPr>
          <w:p w14:paraId="55B36829" w14:textId="21F20B18" w:rsidR="00B50686" w:rsidRPr="009F3EE8" w:rsidRDefault="00B50686" w:rsidP="00B50686">
            <w:pPr>
              <w:spacing w:after="200" w:line="276" w:lineRule="auto"/>
              <w:jc w:val="center"/>
              <w:rPr>
                <w:rFonts w:eastAsia="Calibri"/>
              </w:rPr>
            </w:pPr>
            <w:r>
              <w:rPr>
                <w:rFonts w:eastAsia="Calibri"/>
              </w:rPr>
              <w:t>28 Feb. – 11 Mar.</w:t>
            </w:r>
          </w:p>
        </w:tc>
        <w:tc>
          <w:tcPr>
            <w:tcW w:w="2179" w:type="dxa"/>
            <w:vMerge w:val="restart"/>
            <w:shd w:val="clear" w:color="auto" w:fill="FFFFFF" w:themeFill="background1"/>
            <w:vAlign w:val="center"/>
          </w:tcPr>
          <w:p w14:paraId="483653E9" w14:textId="77777777" w:rsidR="00B50686" w:rsidRPr="00000DE2" w:rsidRDefault="00B50686" w:rsidP="00B50686">
            <w:pPr>
              <w:jc w:val="center"/>
              <w:cnfStyle w:val="000000000000" w:firstRow="0" w:lastRow="0" w:firstColumn="0" w:lastColumn="0" w:oddVBand="0" w:evenVBand="0" w:oddHBand="0" w:evenHBand="0" w:firstRowFirstColumn="0" w:firstRowLastColumn="0" w:lastRowFirstColumn="0" w:lastRowLastColumn="0"/>
              <w:rPr>
                <w:b/>
                <w:bCs/>
                <w:iCs/>
              </w:rPr>
            </w:pPr>
            <w:r w:rsidRPr="00000DE2">
              <w:rPr>
                <w:b/>
                <w:bCs/>
                <w:iCs/>
              </w:rPr>
              <w:t>Chapter 2</w:t>
            </w:r>
          </w:p>
          <w:p w14:paraId="673DEA35" w14:textId="77777777" w:rsidR="00B50686" w:rsidRPr="00000DE2" w:rsidRDefault="00B50686" w:rsidP="00B50686">
            <w:pPr>
              <w:jc w:val="center"/>
              <w:cnfStyle w:val="000000000000" w:firstRow="0" w:lastRow="0" w:firstColumn="0" w:lastColumn="0" w:oddVBand="0" w:evenVBand="0" w:oddHBand="0" w:evenHBand="0" w:firstRowFirstColumn="0" w:firstRowLastColumn="0" w:lastRowFirstColumn="0" w:lastRowLastColumn="0"/>
              <w:rPr>
                <w:iCs/>
              </w:rPr>
            </w:pPr>
            <w:r w:rsidRPr="00000DE2">
              <w:rPr>
                <w:iCs/>
              </w:rPr>
              <w:t>Conceptual Framework</w:t>
            </w:r>
          </w:p>
          <w:p w14:paraId="5EAFD724" w14:textId="4D4EE7EB" w:rsidR="00B50686" w:rsidRPr="009F3EE8" w:rsidRDefault="00B50686" w:rsidP="00B5068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iCs/>
              </w:rPr>
              <w:t>for Financial Reporting</w:t>
            </w:r>
          </w:p>
        </w:tc>
        <w:tc>
          <w:tcPr>
            <w:cnfStyle w:val="000010000000" w:firstRow="0" w:lastRow="0" w:firstColumn="0" w:lastColumn="0" w:oddVBand="1" w:evenVBand="0" w:oddHBand="0" w:evenHBand="0" w:firstRowFirstColumn="0" w:firstRowLastColumn="0" w:lastRowFirstColumn="0" w:lastRowLastColumn="0"/>
            <w:tcW w:w="1062" w:type="dxa"/>
            <w:vMerge w:val="restart"/>
            <w:shd w:val="clear" w:color="auto" w:fill="FFFFFF" w:themeFill="background1"/>
            <w:vAlign w:val="center"/>
          </w:tcPr>
          <w:p w14:paraId="1ADD6FA6" w14:textId="41312B07" w:rsidR="00B50686" w:rsidRPr="009F3EE8" w:rsidRDefault="00B50686" w:rsidP="00B50686">
            <w:pPr>
              <w:bidi w:val="0"/>
              <w:jc w:val="center"/>
            </w:pPr>
            <w:r>
              <w:rPr>
                <w:rFonts w:eastAsia="Calibri"/>
              </w:rPr>
              <w:t>1, 4</w:t>
            </w:r>
            <w:r w:rsidRPr="729237F4">
              <w:rPr>
                <w:rFonts w:eastAsia="Calibri"/>
              </w:rPr>
              <w:t xml:space="preserve"> </w:t>
            </w:r>
          </w:p>
        </w:tc>
        <w:tc>
          <w:tcPr>
            <w:tcW w:w="1743" w:type="dxa"/>
            <w:vMerge w:val="restart"/>
            <w:shd w:val="clear" w:color="auto" w:fill="FFFFFF" w:themeFill="background1"/>
            <w:vAlign w:val="center"/>
          </w:tcPr>
          <w:p w14:paraId="3C10F88A" w14:textId="38718327" w:rsidR="00B50686" w:rsidRPr="009F3EE8" w:rsidRDefault="00B50686" w:rsidP="00B5068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A47349">
              <w:rPr>
                <w:rFonts w:cstheme="minorHAnsi"/>
                <w:lang w:bidi="ar-BH"/>
              </w:rPr>
              <w:t>Lectures</w:t>
            </w: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vAlign w:val="center"/>
          </w:tcPr>
          <w:p w14:paraId="721B99AD" w14:textId="44526FD2" w:rsidR="00B50686" w:rsidRPr="009F3EE8" w:rsidRDefault="00B50686" w:rsidP="00B50686">
            <w:pPr>
              <w:bidi w:val="0"/>
              <w:jc w:val="center"/>
              <w:rPr>
                <w:rFonts w:cstheme="minorHAnsi"/>
                <w:i/>
                <w:iCs/>
                <w:sz w:val="20"/>
                <w:szCs w:val="20"/>
                <w:lang w:bidi="ar-BH"/>
              </w:rPr>
            </w:pPr>
            <w:r w:rsidRPr="00A47349">
              <w:rPr>
                <w:i/>
                <w:iCs/>
                <w:lang w:bidi="ar-BH"/>
              </w:rPr>
              <w:t>Quiz (</w:t>
            </w:r>
            <w:r>
              <w:rPr>
                <w:i/>
                <w:iCs/>
                <w:lang w:bidi="ar-BH"/>
              </w:rPr>
              <w:t>2</w:t>
            </w:r>
            <w:r w:rsidRPr="00A47349">
              <w:rPr>
                <w:i/>
                <w:iCs/>
                <w:lang w:bidi="ar-BH"/>
              </w:rPr>
              <w:t>)</w:t>
            </w:r>
          </w:p>
        </w:tc>
      </w:tr>
      <w:tr w:rsidR="00B50686" w:rsidRPr="009F3EE8" w14:paraId="3CA39177" w14:textId="77777777" w:rsidTr="00D0776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5B4C3DB6" w14:textId="77777777" w:rsidR="00B50686" w:rsidRPr="009F3EE8" w:rsidRDefault="00B50686" w:rsidP="00B50686">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1859" w:type="dxa"/>
            <w:vMerge/>
            <w:tcBorders>
              <w:bottom w:val="single" w:sz="8" w:space="0" w:color="7BA0CD" w:themeColor="accent1" w:themeTint="BF"/>
            </w:tcBorders>
            <w:shd w:val="clear" w:color="auto" w:fill="FFFFFF" w:themeFill="background1"/>
            <w:vAlign w:val="center"/>
          </w:tcPr>
          <w:p w14:paraId="16E8522D" w14:textId="481CFDEC" w:rsidR="00B50686" w:rsidRPr="009F3EE8" w:rsidRDefault="00B50686" w:rsidP="00B50686">
            <w:pPr>
              <w:spacing w:after="200" w:line="276" w:lineRule="auto"/>
              <w:jc w:val="center"/>
              <w:rPr>
                <w:rFonts w:eastAsia="Calibri"/>
              </w:rPr>
            </w:pPr>
          </w:p>
        </w:tc>
        <w:tc>
          <w:tcPr>
            <w:tcW w:w="2179" w:type="dxa"/>
            <w:vMerge/>
            <w:tcBorders>
              <w:bottom w:val="single" w:sz="8" w:space="0" w:color="7BA0CD" w:themeColor="accent1" w:themeTint="BF"/>
            </w:tcBorders>
            <w:shd w:val="clear" w:color="auto" w:fill="FFFFFF" w:themeFill="background1"/>
            <w:vAlign w:val="center"/>
          </w:tcPr>
          <w:p w14:paraId="69A540C4" w14:textId="58BEDF87" w:rsidR="00B50686" w:rsidRPr="009F3EE8" w:rsidRDefault="00B50686" w:rsidP="00B5068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62" w:type="dxa"/>
            <w:vMerge/>
            <w:tcBorders>
              <w:bottom w:val="single" w:sz="8" w:space="0" w:color="7BA0CD" w:themeColor="accent1" w:themeTint="BF"/>
            </w:tcBorders>
            <w:shd w:val="clear" w:color="auto" w:fill="FFFFFF" w:themeFill="background1"/>
            <w:vAlign w:val="center"/>
          </w:tcPr>
          <w:p w14:paraId="03B296CB" w14:textId="08E46D37" w:rsidR="00B50686" w:rsidRPr="009F3EE8" w:rsidRDefault="00B50686" w:rsidP="00B50686">
            <w:pPr>
              <w:bidi w:val="0"/>
              <w:spacing w:after="200" w:line="276" w:lineRule="auto"/>
              <w:jc w:val="center"/>
              <w:rPr>
                <w:rFonts w:eastAsia="Calibri"/>
              </w:rPr>
            </w:pPr>
          </w:p>
        </w:tc>
        <w:tc>
          <w:tcPr>
            <w:tcW w:w="1743" w:type="dxa"/>
            <w:vMerge/>
            <w:tcBorders>
              <w:bottom w:val="single" w:sz="8" w:space="0" w:color="7BA0CD" w:themeColor="accent1" w:themeTint="BF"/>
            </w:tcBorders>
            <w:shd w:val="clear" w:color="auto" w:fill="FFFFFF" w:themeFill="background1"/>
            <w:vAlign w:val="center"/>
          </w:tcPr>
          <w:p w14:paraId="754F9953" w14:textId="77777777" w:rsidR="00B50686" w:rsidRPr="009F3EE8" w:rsidRDefault="00B50686" w:rsidP="00B5068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tcBorders>
              <w:bottom w:val="single" w:sz="8" w:space="0" w:color="7BA0CD" w:themeColor="accent1" w:themeTint="BF"/>
            </w:tcBorders>
            <w:shd w:val="clear" w:color="auto" w:fill="FFFFFF" w:themeFill="background1"/>
            <w:vAlign w:val="center"/>
          </w:tcPr>
          <w:p w14:paraId="09B9EC1C" w14:textId="142F43D2" w:rsidR="00B50686" w:rsidRPr="009F3EE8" w:rsidRDefault="00B50686" w:rsidP="00B50686">
            <w:pPr>
              <w:spacing w:after="200" w:line="276" w:lineRule="auto"/>
              <w:jc w:val="center"/>
              <w:rPr>
                <w:b w:val="0"/>
                <w:bCs w:val="0"/>
                <w:i/>
                <w:iCs/>
                <w:sz w:val="20"/>
                <w:szCs w:val="20"/>
                <w:lang w:bidi="ar-BH"/>
              </w:rPr>
            </w:pPr>
          </w:p>
        </w:tc>
      </w:tr>
      <w:tr w:rsidR="00D07761" w:rsidRPr="009F3EE8" w14:paraId="660A825F" w14:textId="77777777" w:rsidTr="00D07761">
        <w:trPr>
          <w:trHeight w:val="725"/>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6A104AE9" w14:textId="77777777" w:rsidR="00D07761" w:rsidRPr="009F3EE8" w:rsidRDefault="00D07761" w:rsidP="00B50686">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1859" w:type="dxa"/>
            <w:vMerge w:val="restart"/>
            <w:tcBorders>
              <w:bottom w:val="single" w:sz="8" w:space="0" w:color="7BA0CD" w:themeColor="accent1" w:themeTint="BF"/>
            </w:tcBorders>
            <w:shd w:val="clear" w:color="auto" w:fill="FFFFFF" w:themeFill="background1"/>
            <w:vAlign w:val="center"/>
          </w:tcPr>
          <w:p w14:paraId="0E16ADD4" w14:textId="71F49C09" w:rsidR="00D07761" w:rsidRPr="009F3EE8" w:rsidRDefault="00D07761" w:rsidP="00B50686">
            <w:pPr>
              <w:spacing w:after="200" w:line="276" w:lineRule="auto"/>
              <w:jc w:val="center"/>
              <w:rPr>
                <w:rFonts w:eastAsia="Calibri"/>
              </w:rPr>
            </w:pPr>
            <w:r>
              <w:rPr>
                <w:rFonts w:eastAsia="Calibri"/>
              </w:rPr>
              <w:t>14 – 25 Mar.</w:t>
            </w:r>
          </w:p>
        </w:tc>
        <w:tc>
          <w:tcPr>
            <w:tcW w:w="2179" w:type="dxa"/>
            <w:vMerge w:val="restart"/>
            <w:tcBorders>
              <w:bottom w:val="single" w:sz="8" w:space="0" w:color="7BA0CD" w:themeColor="accent1" w:themeTint="BF"/>
            </w:tcBorders>
            <w:shd w:val="clear" w:color="auto" w:fill="FFFFFF" w:themeFill="background1"/>
            <w:vAlign w:val="center"/>
          </w:tcPr>
          <w:p w14:paraId="033B8927" w14:textId="77777777" w:rsidR="00D07761" w:rsidRPr="00000DE2" w:rsidRDefault="00D07761" w:rsidP="00B50686">
            <w:pPr>
              <w:jc w:val="center"/>
              <w:cnfStyle w:val="000000000000" w:firstRow="0" w:lastRow="0" w:firstColumn="0" w:lastColumn="0" w:oddVBand="0" w:evenVBand="0" w:oddHBand="0" w:evenHBand="0" w:firstRowFirstColumn="0" w:firstRowLastColumn="0" w:lastRowFirstColumn="0" w:lastRowLastColumn="0"/>
              <w:rPr>
                <w:b/>
                <w:bCs/>
                <w:lang w:bidi="ar-BH"/>
              </w:rPr>
            </w:pPr>
            <w:r w:rsidRPr="00000DE2">
              <w:rPr>
                <w:b/>
                <w:bCs/>
                <w:lang w:bidi="ar-BH"/>
              </w:rPr>
              <w:t>Chapter 4</w:t>
            </w:r>
          </w:p>
          <w:p w14:paraId="1717680C" w14:textId="1E093D78" w:rsidR="00D07761" w:rsidRPr="009F3EE8" w:rsidRDefault="00D07761" w:rsidP="00B5068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000DE2">
              <w:rPr>
                <w:lang w:bidi="ar-BH"/>
              </w:rPr>
              <w:t>Income St</w:t>
            </w:r>
            <w:r>
              <w:rPr>
                <w:lang w:bidi="ar-BH"/>
              </w:rPr>
              <w:t>atement and Related Information</w:t>
            </w:r>
          </w:p>
        </w:tc>
        <w:tc>
          <w:tcPr>
            <w:cnfStyle w:val="000010000000" w:firstRow="0" w:lastRow="0" w:firstColumn="0" w:lastColumn="0" w:oddVBand="1" w:evenVBand="0" w:oddHBand="0" w:evenHBand="0" w:firstRowFirstColumn="0" w:firstRowLastColumn="0" w:lastRowFirstColumn="0" w:lastRowLastColumn="0"/>
            <w:tcW w:w="1062" w:type="dxa"/>
            <w:vMerge w:val="restart"/>
            <w:tcBorders>
              <w:bottom w:val="single" w:sz="8" w:space="0" w:color="7BA0CD" w:themeColor="accent1" w:themeTint="BF"/>
            </w:tcBorders>
            <w:shd w:val="clear" w:color="auto" w:fill="FFFFFF" w:themeFill="background1"/>
            <w:vAlign w:val="center"/>
          </w:tcPr>
          <w:p w14:paraId="77FF5984" w14:textId="3A4EF150" w:rsidR="00D07761" w:rsidRPr="009F3EE8" w:rsidRDefault="00D07761" w:rsidP="00B50686">
            <w:pPr>
              <w:spacing w:after="200" w:line="276" w:lineRule="auto"/>
              <w:jc w:val="center"/>
              <w:rPr>
                <w:rFonts w:eastAsia="Calibri"/>
              </w:rPr>
            </w:pPr>
            <w:r>
              <w:rPr>
                <w:rFonts w:eastAsia="Calibri"/>
              </w:rPr>
              <w:t>2, 3</w:t>
            </w:r>
          </w:p>
        </w:tc>
        <w:tc>
          <w:tcPr>
            <w:tcW w:w="1743" w:type="dxa"/>
            <w:vMerge w:val="restart"/>
            <w:tcBorders>
              <w:bottom w:val="single" w:sz="8" w:space="0" w:color="7BA0CD" w:themeColor="accent1" w:themeTint="BF"/>
            </w:tcBorders>
            <w:shd w:val="clear" w:color="auto" w:fill="FFFFFF" w:themeFill="background1"/>
            <w:vAlign w:val="center"/>
          </w:tcPr>
          <w:p w14:paraId="1A1A0FE5" w14:textId="6E66BE01" w:rsidR="00D07761" w:rsidRPr="009F3EE8" w:rsidRDefault="00D07761" w:rsidP="00B5068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A47349">
              <w:rPr>
                <w:rFonts w:cstheme="minorHAnsi"/>
                <w:lang w:bidi="ar-BH"/>
              </w:rPr>
              <w:t>Lectures</w:t>
            </w:r>
            <w:r>
              <w:rPr>
                <w:rFonts w:cstheme="minorHAnsi"/>
                <w:lang w:bidi="ar-BH"/>
              </w:rPr>
              <w:t>/ Actual Annual Reports/ Supporting Videos</w:t>
            </w: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textDirection w:val="btLr"/>
            <w:vAlign w:val="center"/>
          </w:tcPr>
          <w:p w14:paraId="06D464CB" w14:textId="37772CCA" w:rsidR="00D07761" w:rsidRDefault="00D07761" w:rsidP="00D07761">
            <w:pPr>
              <w:bidi w:val="0"/>
              <w:spacing w:after="200" w:line="276" w:lineRule="auto"/>
              <w:ind w:left="113" w:right="113"/>
              <w:jc w:val="center"/>
              <w:rPr>
                <w:b w:val="0"/>
                <w:bCs w:val="0"/>
                <w:i/>
                <w:iCs/>
                <w:sz w:val="20"/>
                <w:szCs w:val="20"/>
                <w:lang w:bidi="ar-BH"/>
              </w:rPr>
            </w:pPr>
          </w:p>
          <w:p w14:paraId="4465C518" w14:textId="2585CCE2" w:rsidR="00D07761" w:rsidRPr="00D07761" w:rsidRDefault="00D07761" w:rsidP="00D07761">
            <w:pPr>
              <w:bidi w:val="0"/>
              <w:spacing w:after="200" w:line="276" w:lineRule="auto"/>
              <w:ind w:left="113" w:right="113"/>
              <w:jc w:val="center"/>
              <w:rPr>
                <w:i/>
                <w:iCs/>
                <w:lang w:bidi="ar-BH"/>
              </w:rPr>
            </w:pPr>
            <w:r w:rsidRPr="00D07761">
              <w:rPr>
                <w:i/>
                <w:iCs/>
                <w:lang w:bidi="ar-BH"/>
              </w:rPr>
              <w:t>Case Study</w:t>
            </w:r>
          </w:p>
          <w:p w14:paraId="74E0903E" w14:textId="4CEF88FB" w:rsidR="00D07761" w:rsidRPr="009F3EE8" w:rsidRDefault="00D07761" w:rsidP="00D07761">
            <w:pPr>
              <w:bidi w:val="0"/>
              <w:ind w:left="113" w:right="113"/>
              <w:jc w:val="center"/>
              <w:rPr>
                <w:rFonts w:cstheme="minorHAnsi"/>
                <w:i/>
                <w:iCs/>
                <w:sz w:val="20"/>
                <w:szCs w:val="20"/>
                <w:lang w:bidi="ar-BH"/>
              </w:rPr>
            </w:pPr>
          </w:p>
        </w:tc>
      </w:tr>
      <w:tr w:rsidR="00D07761" w:rsidRPr="009F3EE8" w14:paraId="50D41CD5" w14:textId="77777777" w:rsidTr="00D07761">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3C386D6C" w14:textId="77777777" w:rsidR="00D07761" w:rsidRPr="009F3EE8" w:rsidRDefault="00D07761" w:rsidP="00B50686">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1859" w:type="dxa"/>
            <w:vMerge/>
            <w:tcBorders>
              <w:bottom w:val="single" w:sz="8" w:space="0" w:color="7BA0CD" w:themeColor="accent1" w:themeTint="BF"/>
            </w:tcBorders>
            <w:shd w:val="clear" w:color="auto" w:fill="FFFFFF" w:themeFill="background1"/>
            <w:vAlign w:val="center"/>
          </w:tcPr>
          <w:p w14:paraId="5BCAAC30" w14:textId="614E13A2" w:rsidR="00D07761" w:rsidRPr="009F3EE8" w:rsidRDefault="00D07761" w:rsidP="00B50686">
            <w:pPr>
              <w:spacing w:after="200" w:line="276" w:lineRule="auto"/>
              <w:jc w:val="center"/>
              <w:rPr>
                <w:rFonts w:eastAsia="Calibri"/>
              </w:rPr>
            </w:pPr>
          </w:p>
        </w:tc>
        <w:tc>
          <w:tcPr>
            <w:tcW w:w="2179" w:type="dxa"/>
            <w:vMerge/>
            <w:tcBorders>
              <w:bottom w:val="single" w:sz="8" w:space="0" w:color="7BA0CD" w:themeColor="accent1" w:themeTint="BF"/>
            </w:tcBorders>
            <w:shd w:val="clear" w:color="auto" w:fill="FFFFFF" w:themeFill="background1"/>
            <w:vAlign w:val="center"/>
          </w:tcPr>
          <w:p w14:paraId="093C931E" w14:textId="6C07B2F9" w:rsidR="00D07761" w:rsidRPr="009F3EE8" w:rsidRDefault="00D07761" w:rsidP="00B50686">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62" w:type="dxa"/>
            <w:vMerge/>
            <w:tcBorders>
              <w:bottom w:val="single" w:sz="8" w:space="0" w:color="7BA0CD" w:themeColor="accent1" w:themeTint="BF"/>
            </w:tcBorders>
            <w:shd w:val="clear" w:color="auto" w:fill="FFFFFF" w:themeFill="background1"/>
            <w:vAlign w:val="center"/>
          </w:tcPr>
          <w:p w14:paraId="73E4AC07" w14:textId="2F653879" w:rsidR="00D07761" w:rsidRPr="009F3EE8" w:rsidRDefault="00D07761" w:rsidP="00B50686">
            <w:pPr>
              <w:spacing w:after="200" w:line="276" w:lineRule="auto"/>
              <w:jc w:val="center"/>
              <w:rPr>
                <w:rFonts w:eastAsia="Calibri"/>
              </w:rPr>
            </w:pPr>
          </w:p>
        </w:tc>
        <w:tc>
          <w:tcPr>
            <w:tcW w:w="1743" w:type="dxa"/>
            <w:vMerge/>
            <w:tcBorders>
              <w:bottom w:val="single" w:sz="8" w:space="0" w:color="7BA0CD" w:themeColor="accent1" w:themeTint="BF"/>
            </w:tcBorders>
            <w:shd w:val="clear" w:color="auto" w:fill="FFFFFF" w:themeFill="background1"/>
            <w:vAlign w:val="center"/>
          </w:tcPr>
          <w:p w14:paraId="26A88959" w14:textId="77777777" w:rsidR="00D07761" w:rsidRPr="009F3EE8" w:rsidRDefault="00D07761" w:rsidP="00B5068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2AA9D81A" w14:textId="5928F8CF" w:rsidR="00D07761" w:rsidRPr="009F3EE8" w:rsidRDefault="00D07761" w:rsidP="00B50686">
            <w:pPr>
              <w:bidi w:val="0"/>
              <w:jc w:val="center"/>
              <w:rPr>
                <w:rFonts w:cstheme="minorHAnsi"/>
                <w:i/>
                <w:iCs/>
                <w:sz w:val="20"/>
                <w:szCs w:val="20"/>
                <w:lang w:bidi="ar-BH"/>
              </w:rPr>
            </w:pPr>
          </w:p>
        </w:tc>
      </w:tr>
      <w:tr w:rsidR="00D07761" w:rsidRPr="009F3EE8" w14:paraId="4D4ACB8A" w14:textId="77777777" w:rsidTr="00D07761">
        <w:trPr>
          <w:trHeight w:val="725"/>
        </w:trPr>
        <w:tc>
          <w:tcPr>
            <w:cnfStyle w:val="001000000000" w:firstRow="0" w:lastRow="0" w:firstColumn="1" w:lastColumn="0" w:oddVBand="0" w:evenVBand="0" w:oddHBand="0" w:evenHBand="0" w:firstRowFirstColumn="0" w:firstRowLastColumn="0" w:lastRowFirstColumn="0" w:lastRowLastColumn="0"/>
            <w:tcW w:w="722" w:type="dxa"/>
            <w:shd w:val="clear" w:color="auto" w:fill="E5B8B7" w:themeFill="accent2" w:themeFillTint="66"/>
            <w:vAlign w:val="center"/>
          </w:tcPr>
          <w:p w14:paraId="74630AD7" w14:textId="77777777" w:rsidR="00D07761" w:rsidRPr="009F3EE8" w:rsidRDefault="00D07761" w:rsidP="00EB02D7">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E5B8B7" w:themeFill="accent2" w:themeFillTint="66"/>
            <w:vAlign w:val="center"/>
          </w:tcPr>
          <w:p w14:paraId="16A3D6CA" w14:textId="5F0F3E8C" w:rsidR="00D07761" w:rsidRPr="009F3EE8" w:rsidRDefault="00D07761" w:rsidP="00EB02D7">
            <w:pPr>
              <w:spacing w:line="276" w:lineRule="auto"/>
              <w:jc w:val="center"/>
              <w:rPr>
                <w:rFonts w:eastAsia="Calibri"/>
              </w:rPr>
            </w:pPr>
            <w:r>
              <w:rPr>
                <w:rFonts w:eastAsia="Calibri"/>
              </w:rPr>
              <w:t>28 Mar. – 1 Apr.</w:t>
            </w:r>
          </w:p>
        </w:tc>
        <w:tc>
          <w:tcPr>
            <w:tcW w:w="4984" w:type="dxa"/>
            <w:gridSpan w:val="3"/>
            <w:shd w:val="clear" w:color="auto" w:fill="E5B8B7" w:themeFill="accent2" w:themeFillTint="66"/>
            <w:vAlign w:val="center"/>
          </w:tcPr>
          <w:p w14:paraId="03D3A66E" w14:textId="5B6E9F00" w:rsidR="00D07761" w:rsidRPr="001A4148" w:rsidRDefault="001A4148" w:rsidP="00EB02D7">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sz w:val="24"/>
                <w:szCs w:val="24"/>
                <w:lang w:bidi="ar-BH"/>
              </w:rPr>
            </w:pPr>
            <w:r w:rsidRPr="001A4148">
              <w:rPr>
                <w:b/>
                <w:bCs/>
                <w:i/>
                <w:iCs/>
                <w:color w:val="000000" w:themeColor="text1"/>
                <w:sz w:val="24"/>
                <w:szCs w:val="24"/>
                <w:lang w:bidi="ar-BH"/>
              </w:rPr>
              <w:t>Mid-Semester Break</w:t>
            </w: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auto"/>
            <w:vAlign w:val="center"/>
          </w:tcPr>
          <w:p w14:paraId="2AC7C7DA" w14:textId="7FD75B39" w:rsidR="00D07761" w:rsidRPr="009F3EE8" w:rsidRDefault="00D07761" w:rsidP="00EB02D7">
            <w:pPr>
              <w:bidi w:val="0"/>
              <w:jc w:val="center"/>
              <w:rPr>
                <w:rFonts w:cstheme="minorHAnsi"/>
                <w:i/>
                <w:iCs/>
                <w:sz w:val="20"/>
                <w:szCs w:val="20"/>
                <w:lang w:bidi="ar-BH"/>
              </w:rPr>
            </w:pPr>
          </w:p>
        </w:tc>
      </w:tr>
      <w:tr w:rsidR="00D07761" w:rsidRPr="009F3EE8" w14:paraId="25197DC3" w14:textId="77777777" w:rsidTr="00D0776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vAlign w:val="center"/>
          </w:tcPr>
          <w:p w14:paraId="496F42B3" w14:textId="77777777" w:rsidR="00D07761" w:rsidRPr="009F3EE8" w:rsidRDefault="00D07761" w:rsidP="00D07761">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1859" w:type="dxa"/>
            <w:vMerge w:val="restart"/>
            <w:shd w:val="clear" w:color="auto" w:fill="FFFFFF" w:themeFill="background1"/>
            <w:vAlign w:val="center"/>
          </w:tcPr>
          <w:p w14:paraId="4C5EB780" w14:textId="19F840FA" w:rsidR="00D07761" w:rsidRPr="009F3EE8" w:rsidRDefault="00D07761" w:rsidP="00D07761">
            <w:pPr>
              <w:bidi w:val="0"/>
              <w:spacing w:line="276" w:lineRule="auto"/>
              <w:jc w:val="center"/>
              <w:rPr>
                <w:rFonts w:eastAsia="Calibri"/>
              </w:rPr>
            </w:pPr>
            <w:r>
              <w:rPr>
                <w:rFonts w:eastAsia="Calibri"/>
              </w:rPr>
              <w:t>4 – 15 Apr.</w:t>
            </w:r>
          </w:p>
        </w:tc>
        <w:tc>
          <w:tcPr>
            <w:tcW w:w="2179" w:type="dxa"/>
            <w:vMerge w:val="restart"/>
            <w:shd w:val="clear" w:color="auto" w:fill="FFFFFF" w:themeFill="background1"/>
            <w:vAlign w:val="center"/>
          </w:tcPr>
          <w:p w14:paraId="3F890B8A" w14:textId="77777777" w:rsidR="00D07761" w:rsidRPr="00000DE2" w:rsidRDefault="00D07761" w:rsidP="00D07761">
            <w:pPr>
              <w:jc w:val="center"/>
              <w:cnfStyle w:val="000000100000" w:firstRow="0" w:lastRow="0" w:firstColumn="0" w:lastColumn="0" w:oddVBand="0" w:evenVBand="0" w:oddHBand="1" w:evenHBand="0" w:firstRowFirstColumn="0" w:firstRowLastColumn="0" w:lastRowFirstColumn="0" w:lastRowLastColumn="0"/>
              <w:rPr>
                <w:b/>
                <w:bCs/>
                <w:lang w:bidi="ar-BH"/>
              </w:rPr>
            </w:pPr>
            <w:r w:rsidRPr="729237F4">
              <w:rPr>
                <w:rFonts w:eastAsia="Calibri"/>
              </w:rPr>
              <w:t xml:space="preserve">  </w:t>
            </w:r>
            <w:r w:rsidRPr="729237F4">
              <w:rPr>
                <w:rFonts w:eastAsia="Calibri"/>
                <w:b/>
                <w:bCs/>
              </w:rPr>
              <w:t xml:space="preserve"> </w:t>
            </w:r>
            <w:r w:rsidRPr="00000DE2">
              <w:rPr>
                <w:b/>
                <w:bCs/>
                <w:lang w:bidi="ar-BH"/>
              </w:rPr>
              <w:t>Chapter 5</w:t>
            </w:r>
          </w:p>
          <w:p w14:paraId="68B2879C" w14:textId="078C7E82" w:rsidR="00D07761" w:rsidRPr="003060E1" w:rsidRDefault="00D07761" w:rsidP="00D07761">
            <w:pPr>
              <w:bidi w:val="0"/>
              <w:jc w:val="center"/>
              <w:cnfStyle w:val="000000100000" w:firstRow="0" w:lastRow="0" w:firstColumn="0" w:lastColumn="0" w:oddVBand="0" w:evenVBand="0" w:oddHBand="1" w:evenHBand="0" w:firstRowFirstColumn="0" w:firstRowLastColumn="0" w:lastRowFirstColumn="0" w:lastRowLastColumn="0"/>
            </w:pPr>
            <w:r w:rsidRPr="003060E1">
              <w:rPr>
                <w:lang w:bidi="ar-BH"/>
              </w:rPr>
              <w:t>Statement of Financial Position and Statement of Cash Flows</w:t>
            </w:r>
          </w:p>
        </w:tc>
        <w:tc>
          <w:tcPr>
            <w:cnfStyle w:val="000010000000" w:firstRow="0" w:lastRow="0" w:firstColumn="0" w:lastColumn="0" w:oddVBand="1" w:evenVBand="0" w:oddHBand="0" w:evenHBand="0" w:firstRowFirstColumn="0" w:firstRowLastColumn="0" w:lastRowFirstColumn="0" w:lastRowLastColumn="0"/>
            <w:tcW w:w="1062" w:type="dxa"/>
            <w:vMerge w:val="restart"/>
            <w:shd w:val="clear" w:color="auto" w:fill="FFFFFF" w:themeFill="background1"/>
            <w:vAlign w:val="center"/>
          </w:tcPr>
          <w:p w14:paraId="24094AE8" w14:textId="1F7EF9AD" w:rsidR="00D07761" w:rsidRPr="009F3EE8" w:rsidRDefault="00D07761" w:rsidP="00D07761">
            <w:pPr>
              <w:bidi w:val="0"/>
              <w:jc w:val="center"/>
              <w:rPr>
                <w:rFonts w:cstheme="minorHAnsi"/>
                <w:sz w:val="20"/>
                <w:szCs w:val="20"/>
                <w:lang w:bidi="ar-BH"/>
              </w:rPr>
            </w:pPr>
            <w:r>
              <w:rPr>
                <w:rFonts w:cstheme="minorHAnsi"/>
                <w:sz w:val="20"/>
                <w:szCs w:val="20"/>
                <w:lang w:bidi="ar-BH"/>
              </w:rPr>
              <w:t>2, 3</w:t>
            </w:r>
          </w:p>
        </w:tc>
        <w:tc>
          <w:tcPr>
            <w:tcW w:w="1743" w:type="dxa"/>
            <w:vMerge w:val="restart"/>
            <w:shd w:val="clear" w:color="auto" w:fill="FFFFFF" w:themeFill="background1"/>
            <w:vAlign w:val="center"/>
          </w:tcPr>
          <w:p w14:paraId="138B7AF4" w14:textId="68CEFA2F" w:rsidR="00D07761" w:rsidRPr="009F3EE8" w:rsidRDefault="00D07761" w:rsidP="00D07761">
            <w:pPr>
              <w:bidi w:val="0"/>
              <w:jc w:val="center"/>
              <w:cnfStyle w:val="000000100000" w:firstRow="0" w:lastRow="0" w:firstColumn="0" w:lastColumn="0" w:oddVBand="0" w:evenVBand="0" w:oddHBand="1" w:evenHBand="0" w:firstRowFirstColumn="0" w:firstRowLastColumn="0" w:lastRowFirstColumn="0" w:lastRowLastColumn="0"/>
            </w:pPr>
            <w:r w:rsidRPr="00A47349">
              <w:rPr>
                <w:rFonts w:cstheme="minorHAnsi"/>
                <w:lang w:bidi="ar-BH"/>
              </w:rPr>
              <w:t>Lectures</w:t>
            </w:r>
            <w:r>
              <w:rPr>
                <w:rFonts w:cstheme="minorHAnsi"/>
                <w:lang w:bidi="ar-BH"/>
              </w:rPr>
              <w:t>/ Actual Annual Reports/ Supporting Videos</w:t>
            </w: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68F89FDB" w14:textId="77777777" w:rsidR="00D07761" w:rsidRPr="009F3EE8" w:rsidRDefault="00D07761" w:rsidP="00D07761">
            <w:pPr>
              <w:bidi w:val="0"/>
              <w:jc w:val="center"/>
              <w:rPr>
                <w:rFonts w:cstheme="minorHAnsi"/>
                <w:i/>
                <w:iCs/>
                <w:sz w:val="20"/>
                <w:szCs w:val="20"/>
                <w:lang w:bidi="ar-BH"/>
              </w:rPr>
            </w:pPr>
          </w:p>
        </w:tc>
      </w:tr>
      <w:tr w:rsidR="00D07761" w:rsidRPr="009F3EE8" w14:paraId="62A52F02" w14:textId="77777777" w:rsidTr="00D07761">
        <w:trPr>
          <w:trHeight w:val="671"/>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5DFA5637" w14:textId="77777777" w:rsidR="00D07761" w:rsidRPr="009F3EE8" w:rsidRDefault="00D07761" w:rsidP="00D07761">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1859" w:type="dxa"/>
            <w:vMerge/>
            <w:tcBorders>
              <w:bottom w:val="single" w:sz="8" w:space="0" w:color="7BA0CD" w:themeColor="accent1" w:themeTint="BF"/>
            </w:tcBorders>
            <w:shd w:val="clear" w:color="auto" w:fill="FFFFFF" w:themeFill="background1"/>
            <w:vAlign w:val="center"/>
          </w:tcPr>
          <w:p w14:paraId="67CA548B" w14:textId="2D6AA53C" w:rsidR="00D07761" w:rsidRPr="009F3EE8" w:rsidRDefault="00D07761" w:rsidP="00D07761">
            <w:pPr>
              <w:spacing w:after="200" w:line="276" w:lineRule="auto"/>
              <w:jc w:val="center"/>
              <w:rPr>
                <w:rFonts w:eastAsia="Calibri"/>
              </w:rPr>
            </w:pPr>
          </w:p>
        </w:tc>
        <w:tc>
          <w:tcPr>
            <w:tcW w:w="2179" w:type="dxa"/>
            <w:vMerge/>
            <w:tcBorders>
              <w:bottom w:val="single" w:sz="8" w:space="0" w:color="7BA0CD" w:themeColor="accent1" w:themeTint="BF"/>
            </w:tcBorders>
            <w:shd w:val="clear" w:color="auto" w:fill="FFFFFF" w:themeFill="background1"/>
            <w:vAlign w:val="center"/>
          </w:tcPr>
          <w:p w14:paraId="581A4D29" w14:textId="64F0DC45" w:rsidR="00D07761" w:rsidRPr="009F3EE8" w:rsidRDefault="00D07761" w:rsidP="00D07761">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62" w:type="dxa"/>
            <w:vMerge/>
            <w:tcBorders>
              <w:bottom w:val="single" w:sz="8" w:space="0" w:color="7BA0CD" w:themeColor="accent1" w:themeTint="BF"/>
            </w:tcBorders>
            <w:shd w:val="clear" w:color="auto" w:fill="FFFFFF" w:themeFill="background1"/>
            <w:vAlign w:val="center"/>
          </w:tcPr>
          <w:p w14:paraId="040EF09F" w14:textId="74C1D13A" w:rsidR="00D07761" w:rsidRPr="009F3EE8" w:rsidRDefault="00D07761" w:rsidP="00D07761">
            <w:pPr>
              <w:spacing w:after="200" w:line="276" w:lineRule="auto"/>
              <w:jc w:val="center"/>
              <w:rPr>
                <w:rFonts w:eastAsia="Calibri"/>
              </w:rPr>
            </w:pPr>
          </w:p>
        </w:tc>
        <w:tc>
          <w:tcPr>
            <w:tcW w:w="1743" w:type="dxa"/>
            <w:vMerge/>
            <w:tcBorders>
              <w:bottom w:val="single" w:sz="8" w:space="0" w:color="7BA0CD" w:themeColor="accent1" w:themeTint="BF"/>
            </w:tcBorders>
            <w:shd w:val="clear" w:color="auto" w:fill="FFFFFF" w:themeFill="background1"/>
            <w:vAlign w:val="center"/>
          </w:tcPr>
          <w:p w14:paraId="4C31A541" w14:textId="77777777" w:rsidR="00D07761" w:rsidRPr="009F3EE8" w:rsidRDefault="00D07761" w:rsidP="00D07761">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tcBorders>
              <w:bottom w:val="single" w:sz="8" w:space="0" w:color="7BA0CD" w:themeColor="accent1" w:themeTint="BF"/>
            </w:tcBorders>
            <w:shd w:val="clear" w:color="auto" w:fill="FFFFFF" w:themeFill="background1"/>
            <w:vAlign w:val="center"/>
          </w:tcPr>
          <w:p w14:paraId="279D8FDF" w14:textId="5110AFF5" w:rsidR="00D07761" w:rsidRPr="009F3EE8" w:rsidRDefault="00D07761" w:rsidP="00D07761">
            <w:pPr>
              <w:bidi w:val="0"/>
              <w:spacing w:after="200" w:line="276" w:lineRule="auto"/>
              <w:jc w:val="center"/>
              <w:rPr>
                <w:b w:val="0"/>
                <w:bCs w:val="0"/>
                <w:i/>
                <w:iCs/>
                <w:sz w:val="20"/>
                <w:szCs w:val="20"/>
                <w:lang w:bidi="ar-BH"/>
              </w:rPr>
            </w:pPr>
          </w:p>
        </w:tc>
      </w:tr>
      <w:tr w:rsidR="001A4148" w:rsidRPr="009F3EE8" w14:paraId="32240A9A" w14:textId="77777777" w:rsidTr="00FA2162">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76094720" w14:textId="77777777" w:rsidR="001A4148" w:rsidRPr="009F3EE8" w:rsidRDefault="001A4148" w:rsidP="00D07761">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1859" w:type="dxa"/>
            <w:vMerge w:val="restart"/>
            <w:tcBorders>
              <w:bottom w:val="single" w:sz="8" w:space="0" w:color="7BA0CD" w:themeColor="accent1" w:themeTint="BF"/>
            </w:tcBorders>
            <w:shd w:val="clear" w:color="auto" w:fill="FFFFFF" w:themeFill="background1"/>
            <w:vAlign w:val="center"/>
          </w:tcPr>
          <w:p w14:paraId="5CFA89F0" w14:textId="1BB6A7A1" w:rsidR="001A4148" w:rsidRPr="009F3EE8" w:rsidRDefault="001A4148" w:rsidP="00D07761">
            <w:pPr>
              <w:spacing w:after="200" w:line="276" w:lineRule="auto"/>
              <w:jc w:val="center"/>
              <w:rPr>
                <w:rFonts w:eastAsia="Calibri"/>
              </w:rPr>
            </w:pPr>
            <w:r>
              <w:rPr>
                <w:rFonts w:eastAsia="Calibri"/>
              </w:rPr>
              <w:t>18 – 29 Apr.</w:t>
            </w:r>
          </w:p>
        </w:tc>
        <w:tc>
          <w:tcPr>
            <w:tcW w:w="2179" w:type="dxa"/>
            <w:vMerge w:val="restart"/>
            <w:tcBorders>
              <w:bottom w:val="single" w:sz="8" w:space="0" w:color="7BA0CD" w:themeColor="accent1" w:themeTint="BF"/>
            </w:tcBorders>
            <w:shd w:val="clear" w:color="auto" w:fill="FFFFFF" w:themeFill="background1"/>
            <w:vAlign w:val="center"/>
          </w:tcPr>
          <w:p w14:paraId="0452CCB4" w14:textId="77777777" w:rsidR="001A4148" w:rsidRPr="00000DE2" w:rsidRDefault="001A4148" w:rsidP="00D07761">
            <w:pPr>
              <w:jc w:val="center"/>
              <w:cnfStyle w:val="000000100000" w:firstRow="0" w:lastRow="0" w:firstColumn="0" w:lastColumn="0" w:oddVBand="0" w:evenVBand="0" w:oddHBand="1" w:evenHBand="0" w:firstRowFirstColumn="0" w:firstRowLastColumn="0" w:lastRowFirstColumn="0" w:lastRowLastColumn="0"/>
              <w:rPr>
                <w:b/>
                <w:bCs/>
                <w:lang w:bidi="ar-BH"/>
              </w:rPr>
            </w:pPr>
            <w:r w:rsidRPr="729237F4">
              <w:rPr>
                <w:rFonts w:eastAsia="Calibri"/>
              </w:rPr>
              <w:t xml:space="preserve"> </w:t>
            </w:r>
            <w:r w:rsidRPr="00000DE2">
              <w:rPr>
                <w:b/>
                <w:bCs/>
                <w:lang w:bidi="ar-BH"/>
              </w:rPr>
              <w:t>Chapter 7</w:t>
            </w:r>
          </w:p>
          <w:p w14:paraId="128AAB02" w14:textId="7783B528" w:rsidR="001A4148" w:rsidRPr="009F3EE8" w:rsidRDefault="001A4148" w:rsidP="00D07761">
            <w:pPr>
              <w:bidi w:val="0"/>
              <w:jc w:val="center"/>
              <w:cnfStyle w:val="000000100000" w:firstRow="0" w:lastRow="0" w:firstColumn="0" w:lastColumn="0" w:oddVBand="0" w:evenVBand="0" w:oddHBand="1" w:evenHBand="0" w:firstRowFirstColumn="0" w:firstRowLastColumn="0" w:lastRowFirstColumn="0" w:lastRowLastColumn="0"/>
            </w:pPr>
            <w:r w:rsidRPr="00000DE2">
              <w:rPr>
                <w:lang w:bidi="ar-BH"/>
              </w:rPr>
              <w:t>Cash and Receivables</w:t>
            </w:r>
          </w:p>
        </w:tc>
        <w:tc>
          <w:tcPr>
            <w:cnfStyle w:val="000010000000" w:firstRow="0" w:lastRow="0" w:firstColumn="0" w:lastColumn="0" w:oddVBand="1" w:evenVBand="0" w:oddHBand="0" w:evenHBand="0" w:firstRowFirstColumn="0" w:firstRowLastColumn="0" w:lastRowFirstColumn="0" w:lastRowLastColumn="0"/>
            <w:tcW w:w="1062" w:type="dxa"/>
            <w:vMerge w:val="restart"/>
            <w:tcBorders>
              <w:bottom w:val="single" w:sz="8" w:space="0" w:color="7BA0CD" w:themeColor="accent1" w:themeTint="BF"/>
            </w:tcBorders>
            <w:shd w:val="clear" w:color="auto" w:fill="FFFFFF" w:themeFill="background1"/>
            <w:vAlign w:val="center"/>
          </w:tcPr>
          <w:p w14:paraId="6CCF3800" w14:textId="3285C5C9" w:rsidR="001A4148" w:rsidRPr="009F3EE8" w:rsidRDefault="001A4148" w:rsidP="00D07761">
            <w:pPr>
              <w:bidi w:val="0"/>
              <w:jc w:val="center"/>
              <w:rPr>
                <w:sz w:val="20"/>
                <w:szCs w:val="20"/>
                <w:lang w:bidi="ar-BH"/>
              </w:rPr>
            </w:pPr>
            <w:r w:rsidRPr="729237F4">
              <w:rPr>
                <w:sz w:val="20"/>
                <w:szCs w:val="20"/>
                <w:lang w:bidi="ar-BH"/>
              </w:rPr>
              <w:t xml:space="preserve"> </w:t>
            </w:r>
            <w:r>
              <w:rPr>
                <w:sz w:val="20"/>
                <w:szCs w:val="20"/>
                <w:lang w:bidi="ar-BH"/>
              </w:rPr>
              <w:t>2, 4</w:t>
            </w:r>
          </w:p>
        </w:tc>
        <w:tc>
          <w:tcPr>
            <w:tcW w:w="1743" w:type="dxa"/>
            <w:vMerge w:val="restart"/>
            <w:tcBorders>
              <w:bottom w:val="single" w:sz="8" w:space="0" w:color="7BA0CD" w:themeColor="accent1" w:themeTint="BF"/>
            </w:tcBorders>
            <w:shd w:val="clear" w:color="auto" w:fill="FFFFFF" w:themeFill="background1"/>
            <w:vAlign w:val="center"/>
          </w:tcPr>
          <w:p w14:paraId="64A454C1" w14:textId="3CF578C0" w:rsidR="001A4148" w:rsidRPr="009F3EE8" w:rsidRDefault="001A4148" w:rsidP="00D0776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A47349">
              <w:rPr>
                <w:rFonts w:cstheme="minorHAnsi"/>
                <w:lang w:bidi="ar-BH"/>
              </w:rPr>
              <w:t>Lectures</w:t>
            </w:r>
          </w:p>
        </w:tc>
        <w:tc>
          <w:tcPr>
            <w:cnfStyle w:val="000100000000" w:firstRow="0" w:lastRow="0" w:firstColumn="0" w:lastColumn="1" w:oddVBand="0" w:evenVBand="0" w:oddHBand="0" w:evenHBand="0" w:firstRowFirstColumn="0" w:firstRowLastColumn="0" w:lastRowFirstColumn="0" w:lastRowLastColumn="0"/>
            <w:tcW w:w="1346" w:type="dxa"/>
            <w:vMerge w:val="restart"/>
            <w:shd w:val="clear" w:color="auto" w:fill="FFFFFF" w:themeFill="background1"/>
            <w:textDirection w:val="btLr"/>
            <w:vAlign w:val="center"/>
          </w:tcPr>
          <w:p w14:paraId="59BAF5C4" w14:textId="120C75F3" w:rsidR="001A4148" w:rsidRPr="009F3EE8" w:rsidRDefault="001A4148" w:rsidP="00FA2162">
            <w:pPr>
              <w:bidi w:val="0"/>
              <w:ind w:left="113" w:right="113"/>
              <w:jc w:val="center"/>
              <w:rPr>
                <w:b w:val="0"/>
                <w:bCs w:val="0"/>
                <w:i/>
                <w:iCs/>
                <w:sz w:val="20"/>
                <w:szCs w:val="20"/>
                <w:lang w:bidi="ar-BH"/>
              </w:rPr>
            </w:pPr>
          </w:p>
          <w:p w14:paraId="0355ABDF" w14:textId="0D6E0F22" w:rsidR="001A4148" w:rsidRPr="00FA2162" w:rsidRDefault="00FA2162" w:rsidP="00FA2162">
            <w:pPr>
              <w:bidi w:val="0"/>
              <w:spacing w:after="200" w:line="276" w:lineRule="auto"/>
              <w:ind w:left="113" w:right="113"/>
              <w:jc w:val="center"/>
              <w:rPr>
                <w:i/>
                <w:iCs/>
                <w:lang w:bidi="ar-BH"/>
              </w:rPr>
            </w:pPr>
            <w:r>
              <w:rPr>
                <w:i/>
                <w:iCs/>
                <w:lang w:bidi="ar-BH"/>
              </w:rPr>
              <w:t>Final Exam</w:t>
            </w:r>
          </w:p>
          <w:p w14:paraId="0F545A97" w14:textId="111CF622" w:rsidR="001A4148" w:rsidRPr="009F3EE8" w:rsidRDefault="001A4148" w:rsidP="00FA2162">
            <w:pPr>
              <w:bidi w:val="0"/>
              <w:ind w:left="113" w:right="113"/>
              <w:jc w:val="center"/>
              <w:rPr>
                <w:rFonts w:cstheme="minorHAnsi"/>
                <w:i/>
                <w:iCs/>
                <w:sz w:val="20"/>
                <w:szCs w:val="20"/>
                <w:lang w:bidi="ar-BH"/>
              </w:rPr>
            </w:pPr>
          </w:p>
        </w:tc>
      </w:tr>
      <w:tr w:rsidR="001A4148" w:rsidRPr="009F3EE8" w14:paraId="12D94DDE" w14:textId="77777777" w:rsidTr="006E44D3">
        <w:trPr>
          <w:trHeight w:val="725"/>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2BB7952E" w14:textId="77777777" w:rsidR="001A4148" w:rsidRPr="009F3EE8" w:rsidRDefault="001A4148" w:rsidP="00D07761">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1859" w:type="dxa"/>
            <w:vMerge/>
            <w:tcBorders>
              <w:bottom w:val="single" w:sz="8" w:space="0" w:color="7BA0CD" w:themeColor="accent1" w:themeTint="BF"/>
            </w:tcBorders>
            <w:shd w:val="clear" w:color="auto" w:fill="FFFFFF" w:themeFill="background1"/>
            <w:vAlign w:val="center"/>
          </w:tcPr>
          <w:p w14:paraId="3CE2DA61" w14:textId="56904306" w:rsidR="001A4148" w:rsidRPr="009F3EE8" w:rsidRDefault="001A4148" w:rsidP="00D07761">
            <w:pPr>
              <w:spacing w:after="200" w:line="276" w:lineRule="auto"/>
              <w:jc w:val="center"/>
              <w:rPr>
                <w:rFonts w:eastAsia="Calibri"/>
              </w:rPr>
            </w:pPr>
          </w:p>
        </w:tc>
        <w:tc>
          <w:tcPr>
            <w:tcW w:w="2179" w:type="dxa"/>
            <w:vMerge/>
            <w:tcBorders>
              <w:bottom w:val="single" w:sz="8" w:space="0" w:color="7BA0CD" w:themeColor="accent1" w:themeTint="BF"/>
            </w:tcBorders>
            <w:shd w:val="clear" w:color="auto" w:fill="FFFFFF" w:themeFill="background1"/>
            <w:vAlign w:val="center"/>
          </w:tcPr>
          <w:p w14:paraId="65E09ED1" w14:textId="6F80A57A" w:rsidR="001A4148" w:rsidRPr="009F3EE8" w:rsidRDefault="001A4148" w:rsidP="00D0776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62" w:type="dxa"/>
            <w:vMerge/>
            <w:tcBorders>
              <w:bottom w:val="single" w:sz="8" w:space="0" w:color="7BA0CD" w:themeColor="accent1" w:themeTint="BF"/>
            </w:tcBorders>
            <w:shd w:val="clear" w:color="auto" w:fill="FFFFFF" w:themeFill="background1"/>
            <w:vAlign w:val="center"/>
          </w:tcPr>
          <w:p w14:paraId="7539A11F" w14:textId="5260A4DD" w:rsidR="001A4148" w:rsidRPr="009F3EE8" w:rsidRDefault="001A4148" w:rsidP="00D07761">
            <w:pPr>
              <w:bidi w:val="0"/>
              <w:spacing w:after="200" w:line="276" w:lineRule="auto"/>
              <w:jc w:val="center"/>
              <w:rPr>
                <w:rFonts w:eastAsia="Calibri"/>
              </w:rPr>
            </w:pPr>
          </w:p>
        </w:tc>
        <w:tc>
          <w:tcPr>
            <w:tcW w:w="1743" w:type="dxa"/>
            <w:vMerge/>
            <w:tcBorders>
              <w:bottom w:val="single" w:sz="8" w:space="0" w:color="7BA0CD" w:themeColor="accent1" w:themeTint="BF"/>
            </w:tcBorders>
            <w:shd w:val="clear" w:color="auto" w:fill="FFFFFF" w:themeFill="background1"/>
            <w:vAlign w:val="center"/>
          </w:tcPr>
          <w:p w14:paraId="3EE7235D" w14:textId="77777777" w:rsidR="001A4148" w:rsidRPr="009F3EE8" w:rsidRDefault="001A4148" w:rsidP="00D07761">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44447F6D" w14:textId="37435E69" w:rsidR="001A4148" w:rsidRPr="009F3EE8" w:rsidRDefault="001A4148" w:rsidP="001A4148">
            <w:pPr>
              <w:bidi w:val="0"/>
              <w:jc w:val="center"/>
              <w:rPr>
                <w:rFonts w:cstheme="minorHAnsi"/>
                <w:i/>
                <w:iCs/>
                <w:sz w:val="20"/>
                <w:szCs w:val="20"/>
                <w:lang w:bidi="ar-BH"/>
              </w:rPr>
            </w:pPr>
          </w:p>
        </w:tc>
      </w:tr>
      <w:tr w:rsidR="001A4148" w:rsidRPr="009F3EE8" w14:paraId="3EC49C7D" w14:textId="77777777" w:rsidTr="00604FF4">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vAlign w:val="center"/>
          </w:tcPr>
          <w:p w14:paraId="358D0C40" w14:textId="77777777" w:rsidR="001A4148" w:rsidRPr="009F3EE8" w:rsidRDefault="001A4148" w:rsidP="00D07761">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FFFFFF" w:themeFill="background1"/>
            <w:vAlign w:val="center"/>
          </w:tcPr>
          <w:p w14:paraId="7F1BBB7A" w14:textId="54C8738E" w:rsidR="001A4148" w:rsidRPr="009F3EE8" w:rsidRDefault="001A4148" w:rsidP="00D07761">
            <w:pPr>
              <w:bidi w:val="0"/>
              <w:jc w:val="center"/>
              <w:rPr>
                <w:rFonts w:cstheme="minorHAnsi"/>
                <w:sz w:val="20"/>
                <w:szCs w:val="20"/>
                <w:lang w:bidi="ar-BH"/>
              </w:rPr>
            </w:pPr>
            <w:r>
              <w:rPr>
                <w:rFonts w:cstheme="minorHAnsi"/>
                <w:sz w:val="20"/>
                <w:szCs w:val="20"/>
                <w:lang w:bidi="ar-BH"/>
              </w:rPr>
              <w:t>2 – 6 May</w:t>
            </w:r>
          </w:p>
        </w:tc>
        <w:tc>
          <w:tcPr>
            <w:tcW w:w="2179" w:type="dxa"/>
            <w:shd w:val="clear" w:color="auto" w:fill="FFFFFF" w:themeFill="background1"/>
            <w:vAlign w:val="center"/>
          </w:tcPr>
          <w:p w14:paraId="66014237" w14:textId="77777777" w:rsidR="001A4148" w:rsidRPr="00000DE2" w:rsidRDefault="001A4148" w:rsidP="00D07761">
            <w:pPr>
              <w:jc w:val="center"/>
              <w:cnfStyle w:val="000000100000" w:firstRow="0" w:lastRow="0" w:firstColumn="0" w:lastColumn="0" w:oddVBand="0" w:evenVBand="0" w:oddHBand="1" w:evenHBand="0" w:firstRowFirstColumn="0" w:firstRowLastColumn="0" w:lastRowFirstColumn="0" w:lastRowLastColumn="0"/>
              <w:rPr>
                <w:b/>
                <w:bCs/>
                <w:lang w:bidi="ar-BH"/>
              </w:rPr>
            </w:pPr>
            <w:r w:rsidRPr="00000DE2">
              <w:rPr>
                <w:b/>
                <w:bCs/>
                <w:lang w:bidi="ar-BH"/>
              </w:rPr>
              <w:t>Chapter 9</w:t>
            </w:r>
          </w:p>
          <w:p w14:paraId="65F43B6B" w14:textId="59562B5E" w:rsidR="001A4148" w:rsidRPr="00D07761" w:rsidRDefault="001A4148" w:rsidP="00D07761">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07761">
              <w:rPr>
                <w:lang w:bidi="ar-BH"/>
              </w:rPr>
              <w:t>Inventories: Additional Valuation Issues</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14:paraId="65985AB3" w14:textId="5EBF2F13" w:rsidR="001A4148" w:rsidRPr="009F3EE8" w:rsidRDefault="001A4148" w:rsidP="00D07761">
            <w:pPr>
              <w:bidi w:val="0"/>
              <w:spacing w:after="200" w:line="276" w:lineRule="auto"/>
              <w:jc w:val="center"/>
              <w:rPr>
                <w:rFonts w:eastAsia="Calibri"/>
              </w:rPr>
            </w:pPr>
            <w:r w:rsidRPr="729237F4">
              <w:rPr>
                <w:sz w:val="20"/>
                <w:szCs w:val="20"/>
                <w:lang w:bidi="ar-BH"/>
              </w:rPr>
              <w:t xml:space="preserve"> </w:t>
            </w:r>
            <w:r>
              <w:rPr>
                <w:sz w:val="20"/>
                <w:szCs w:val="20"/>
                <w:lang w:bidi="ar-BH"/>
              </w:rPr>
              <w:t>2, 4</w:t>
            </w:r>
          </w:p>
        </w:tc>
        <w:tc>
          <w:tcPr>
            <w:tcW w:w="1743" w:type="dxa"/>
            <w:shd w:val="clear" w:color="auto" w:fill="FFFFFF" w:themeFill="background1"/>
            <w:vAlign w:val="center"/>
          </w:tcPr>
          <w:p w14:paraId="20DC7546" w14:textId="23DEF1BA" w:rsidR="001A4148" w:rsidRPr="009F3EE8" w:rsidRDefault="001A4148" w:rsidP="00D0776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A47349">
              <w:rPr>
                <w:rFonts w:cstheme="minorHAnsi"/>
                <w:lang w:bidi="ar-BH"/>
              </w:rPr>
              <w:t>Lectures</w:t>
            </w: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448BB5A7" w14:textId="4DF19761" w:rsidR="001A4148" w:rsidRPr="009F3EE8" w:rsidRDefault="001A4148" w:rsidP="001A4148">
            <w:pPr>
              <w:bidi w:val="0"/>
              <w:jc w:val="center"/>
              <w:rPr>
                <w:rFonts w:cstheme="minorHAnsi"/>
                <w:i/>
                <w:iCs/>
                <w:sz w:val="20"/>
                <w:szCs w:val="20"/>
                <w:lang w:bidi="ar-BH"/>
              </w:rPr>
            </w:pPr>
          </w:p>
        </w:tc>
      </w:tr>
      <w:tr w:rsidR="001A4148" w:rsidRPr="009F3EE8" w14:paraId="1F1A996D" w14:textId="77777777" w:rsidTr="00116212">
        <w:trPr>
          <w:trHeight w:val="725"/>
        </w:trPr>
        <w:tc>
          <w:tcPr>
            <w:cnfStyle w:val="001000000000" w:firstRow="0" w:lastRow="0" w:firstColumn="1" w:lastColumn="0" w:oddVBand="0" w:evenVBand="0" w:oddHBand="0" w:evenHBand="0" w:firstRowFirstColumn="0" w:firstRowLastColumn="0" w:lastRowFirstColumn="0" w:lastRowLastColumn="0"/>
            <w:tcW w:w="722" w:type="dxa"/>
            <w:shd w:val="clear" w:color="auto" w:fill="FFFFFF" w:themeFill="background1"/>
            <w:vAlign w:val="center"/>
          </w:tcPr>
          <w:p w14:paraId="17B43291" w14:textId="77777777" w:rsidR="001A4148" w:rsidRPr="009F3EE8" w:rsidRDefault="001A4148" w:rsidP="001A4148">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1859" w:type="dxa"/>
            <w:shd w:val="clear" w:color="auto" w:fill="FFFFFF" w:themeFill="background1"/>
            <w:vAlign w:val="center"/>
          </w:tcPr>
          <w:p w14:paraId="77049F44" w14:textId="15BF7E71" w:rsidR="001A4148" w:rsidRPr="009F3EE8" w:rsidRDefault="001A4148" w:rsidP="001A4148">
            <w:pPr>
              <w:bidi w:val="0"/>
              <w:jc w:val="center"/>
              <w:rPr>
                <w:rFonts w:cstheme="minorHAnsi"/>
                <w:sz w:val="20"/>
                <w:szCs w:val="20"/>
                <w:lang w:bidi="ar-BH"/>
              </w:rPr>
            </w:pPr>
            <w:r>
              <w:rPr>
                <w:rFonts w:cstheme="minorHAnsi"/>
                <w:sz w:val="20"/>
                <w:szCs w:val="20"/>
                <w:lang w:bidi="ar-BH"/>
              </w:rPr>
              <w:t>9 – 13 May</w:t>
            </w:r>
          </w:p>
        </w:tc>
        <w:tc>
          <w:tcPr>
            <w:tcW w:w="2179" w:type="dxa"/>
            <w:shd w:val="clear" w:color="auto" w:fill="FFFFFF" w:themeFill="background1"/>
            <w:vAlign w:val="center"/>
          </w:tcPr>
          <w:p w14:paraId="330316A5" w14:textId="77777777" w:rsidR="001A4148" w:rsidRPr="00000DE2" w:rsidRDefault="001A4148" w:rsidP="001A4148">
            <w:pPr>
              <w:jc w:val="center"/>
              <w:cnfStyle w:val="000000000000" w:firstRow="0" w:lastRow="0" w:firstColumn="0" w:lastColumn="0" w:oddVBand="0" w:evenVBand="0" w:oddHBand="0" w:evenHBand="0" w:firstRowFirstColumn="0" w:firstRowLastColumn="0" w:lastRowFirstColumn="0" w:lastRowLastColumn="0"/>
              <w:rPr>
                <w:b/>
                <w:bCs/>
                <w:lang w:bidi="ar-BH"/>
              </w:rPr>
            </w:pPr>
            <w:r w:rsidRPr="00000DE2">
              <w:rPr>
                <w:b/>
                <w:bCs/>
                <w:lang w:bidi="ar-BH"/>
              </w:rPr>
              <w:t>Chapter 12</w:t>
            </w:r>
          </w:p>
          <w:p w14:paraId="075EF58F" w14:textId="1888845F" w:rsidR="001A4148" w:rsidRPr="001A4148" w:rsidRDefault="001A4148" w:rsidP="001A4148">
            <w:pPr>
              <w:bidi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1A4148">
              <w:rPr>
                <w:lang w:bidi="ar-BH"/>
              </w:rPr>
              <w:t>Intangible Assets</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14:paraId="60FF1A2E" w14:textId="2B67EA4C" w:rsidR="001A4148" w:rsidRPr="009F3EE8" w:rsidRDefault="001A4148" w:rsidP="001A4148">
            <w:pPr>
              <w:spacing w:line="276" w:lineRule="auto"/>
              <w:jc w:val="center"/>
              <w:rPr>
                <w:rFonts w:eastAsia="Calibri"/>
              </w:rPr>
            </w:pPr>
            <w:r>
              <w:rPr>
                <w:rFonts w:eastAsia="Calibri"/>
              </w:rPr>
              <w:t>2, 4</w:t>
            </w:r>
          </w:p>
        </w:tc>
        <w:tc>
          <w:tcPr>
            <w:tcW w:w="1743" w:type="dxa"/>
            <w:shd w:val="clear" w:color="auto" w:fill="FFFFFF" w:themeFill="background1"/>
            <w:vAlign w:val="center"/>
          </w:tcPr>
          <w:p w14:paraId="359C4F7F" w14:textId="4C871859" w:rsidR="001A4148" w:rsidRPr="009F3EE8" w:rsidRDefault="001A4148" w:rsidP="001A4148">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A47349">
              <w:rPr>
                <w:rFonts w:cstheme="minorHAnsi"/>
                <w:lang w:bidi="ar-BH"/>
              </w:rPr>
              <w:t>Lectures</w:t>
            </w: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48A28D7C" w14:textId="51198A93" w:rsidR="001A4148" w:rsidRPr="009F3EE8" w:rsidRDefault="001A4148" w:rsidP="001A4148">
            <w:pPr>
              <w:bidi w:val="0"/>
              <w:jc w:val="center"/>
              <w:rPr>
                <w:rFonts w:cstheme="minorHAnsi"/>
                <w:i/>
                <w:iCs/>
                <w:sz w:val="20"/>
                <w:szCs w:val="20"/>
                <w:lang w:bidi="ar-BH"/>
              </w:rPr>
            </w:pPr>
          </w:p>
        </w:tc>
      </w:tr>
      <w:tr w:rsidR="001A4148" w:rsidRPr="009F3EE8" w14:paraId="3DD445A5" w14:textId="77777777" w:rsidTr="00132C5A">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722" w:type="dxa"/>
            <w:tcBorders>
              <w:bottom w:val="single" w:sz="8" w:space="0" w:color="7BA0CD" w:themeColor="accent1" w:themeTint="BF"/>
            </w:tcBorders>
            <w:shd w:val="clear" w:color="auto" w:fill="FFFFFF" w:themeFill="background1"/>
            <w:vAlign w:val="center"/>
          </w:tcPr>
          <w:p w14:paraId="056A3E6E" w14:textId="476CB347" w:rsidR="001A4148" w:rsidRPr="009F3EE8" w:rsidRDefault="001A4148" w:rsidP="001A4148">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1859" w:type="dxa"/>
            <w:vMerge w:val="restart"/>
            <w:shd w:val="clear" w:color="auto" w:fill="FFFFFF" w:themeFill="background1"/>
            <w:vAlign w:val="center"/>
          </w:tcPr>
          <w:p w14:paraId="57E9A241" w14:textId="327AC514" w:rsidR="001A4148" w:rsidRPr="009F3EE8" w:rsidRDefault="001A4148" w:rsidP="001A4148">
            <w:pPr>
              <w:spacing w:after="200" w:line="276" w:lineRule="auto"/>
              <w:jc w:val="center"/>
              <w:rPr>
                <w:rFonts w:eastAsia="Calibri"/>
              </w:rPr>
            </w:pPr>
            <w:r>
              <w:rPr>
                <w:rFonts w:eastAsia="Calibri"/>
              </w:rPr>
              <w:t>16 – 27 May</w:t>
            </w:r>
          </w:p>
        </w:tc>
        <w:tc>
          <w:tcPr>
            <w:tcW w:w="2179" w:type="dxa"/>
            <w:vMerge w:val="restart"/>
            <w:shd w:val="clear" w:color="auto" w:fill="FFFFFF" w:themeFill="background1"/>
            <w:vAlign w:val="center"/>
          </w:tcPr>
          <w:p w14:paraId="7A9989F1" w14:textId="77777777" w:rsidR="001A4148" w:rsidRPr="006B0DB5" w:rsidRDefault="001A4148" w:rsidP="001A4148">
            <w:pPr>
              <w:jc w:val="center"/>
              <w:cnfStyle w:val="000000100000" w:firstRow="0" w:lastRow="0" w:firstColumn="0" w:lastColumn="0" w:oddVBand="0" w:evenVBand="0" w:oddHBand="1" w:evenHBand="0" w:firstRowFirstColumn="0" w:firstRowLastColumn="0" w:lastRowFirstColumn="0" w:lastRowLastColumn="0"/>
              <w:rPr>
                <w:b/>
                <w:bCs/>
              </w:rPr>
            </w:pPr>
            <w:r w:rsidRPr="006B0DB5">
              <w:rPr>
                <w:b/>
                <w:bCs/>
              </w:rPr>
              <w:t>Chapter 23</w:t>
            </w:r>
          </w:p>
          <w:p w14:paraId="39027C78" w14:textId="6F4DCA8C" w:rsidR="001A4148" w:rsidRPr="001A4148" w:rsidRDefault="001A4148" w:rsidP="001A4148">
            <w:pPr>
              <w:bidi w:val="0"/>
              <w:jc w:val="center"/>
              <w:cnfStyle w:val="000000100000" w:firstRow="0" w:lastRow="0" w:firstColumn="0" w:lastColumn="0" w:oddVBand="0" w:evenVBand="0" w:oddHBand="1" w:evenHBand="0" w:firstRowFirstColumn="0" w:firstRowLastColumn="0" w:lastRowFirstColumn="0" w:lastRowLastColumn="0"/>
            </w:pPr>
            <w:r w:rsidRPr="001A4148">
              <w:t>Statement of Cash Flows</w:t>
            </w:r>
            <w:r w:rsidRPr="001A4148">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1062" w:type="dxa"/>
            <w:vMerge w:val="restart"/>
            <w:shd w:val="clear" w:color="auto" w:fill="FFFFFF" w:themeFill="background1"/>
            <w:vAlign w:val="center"/>
          </w:tcPr>
          <w:p w14:paraId="2F6DCDCE" w14:textId="6E2C8FC8" w:rsidR="001A4148" w:rsidRPr="009F3EE8" w:rsidRDefault="001A4148" w:rsidP="001A4148">
            <w:pPr>
              <w:spacing w:after="200" w:line="276" w:lineRule="auto"/>
              <w:jc w:val="center"/>
              <w:rPr>
                <w:rFonts w:eastAsia="Calibri"/>
              </w:rPr>
            </w:pPr>
            <w:r>
              <w:rPr>
                <w:rFonts w:eastAsia="Calibri"/>
              </w:rPr>
              <w:t>1, 2</w:t>
            </w:r>
          </w:p>
        </w:tc>
        <w:tc>
          <w:tcPr>
            <w:tcW w:w="1743" w:type="dxa"/>
            <w:vMerge w:val="restart"/>
            <w:shd w:val="clear" w:color="auto" w:fill="FFFFFF" w:themeFill="background1"/>
            <w:vAlign w:val="center"/>
          </w:tcPr>
          <w:p w14:paraId="227D12E2" w14:textId="12ED3E5A" w:rsidR="001A4148" w:rsidRPr="009F3EE8" w:rsidRDefault="001A4148" w:rsidP="001A4148">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A47349">
              <w:rPr>
                <w:rFonts w:cstheme="minorHAnsi"/>
                <w:lang w:bidi="ar-BH"/>
              </w:rPr>
              <w:t>Lectures</w:t>
            </w: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334A20AC" w14:textId="75449A1C" w:rsidR="001A4148" w:rsidRPr="009F3EE8" w:rsidRDefault="001A4148" w:rsidP="001A4148">
            <w:pPr>
              <w:bidi w:val="0"/>
              <w:jc w:val="center"/>
              <w:rPr>
                <w:rFonts w:cstheme="minorHAnsi"/>
                <w:i/>
                <w:iCs/>
                <w:sz w:val="20"/>
                <w:szCs w:val="20"/>
                <w:lang w:bidi="ar-BH"/>
              </w:rPr>
            </w:pPr>
          </w:p>
        </w:tc>
      </w:tr>
      <w:tr w:rsidR="001A4148" w:rsidRPr="009F3EE8" w14:paraId="1EEFB8D4" w14:textId="77777777" w:rsidTr="00132C5A">
        <w:trPr>
          <w:cnfStyle w:val="010000000000" w:firstRow="0" w:lastRow="1"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7BA0CD" w:themeColor="accent1" w:themeTint="BF"/>
            </w:tcBorders>
            <w:shd w:val="clear" w:color="auto" w:fill="FFFFFF" w:themeFill="background1"/>
            <w:vAlign w:val="center"/>
          </w:tcPr>
          <w:p w14:paraId="0443FE95" w14:textId="45B50232" w:rsidR="001A4148" w:rsidRPr="009F3EE8" w:rsidRDefault="001A4148" w:rsidP="001A4148">
            <w:pPr>
              <w:bidi w:val="0"/>
              <w:jc w:val="center"/>
              <w:rPr>
                <w:rFonts w:cstheme="minorHAnsi"/>
                <w:i/>
                <w:iCs/>
                <w:lang w:bidi="ar-BH"/>
              </w:rPr>
            </w:pPr>
            <w:r w:rsidRPr="009F3EE8">
              <w:rPr>
                <w:rFonts w:cstheme="minorHAnsi"/>
                <w:i/>
                <w:iCs/>
                <w:lang w:bidi="ar-BH"/>
              </w:rPr>
              <w:t>1</w:t>
            </w:r>
            <w:r>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1859" w:type="dxa"/>
            <w:vMerge/>
            <w:shd w:val="clear" w:color="auto" w:fill="FFFFFF" w:themeFill="background1"/>
            <w:vAlign w:val="center"/>
          </w:tcPr>
          <w:p w14:paraId="3F8A4E34" w14:textId="77777777" w:rsidR="001A4148" w:rsidRPr="009F3EE8" w:rsidRDefault="001A4148" w:rsidP="001A4148">
            <w:pPr>
              <w:jc w:val="center"/>
              <w:rPr>
                <w:rFonts w:eastAsia="Calibri"/>
              </w:rPr>
            </w:pPr>
          </w:p>
        </w:tc>
        <w:tc>
          <w:tcPr>
            <w:tcW w:w="2179" w:type="dxa"/>
            <w:vMerge/>
            <w:shd w:val="clear" w:color="auto" w:fill="FFFFFF" w:themeFill="background1"/>
            <w:vAlign w:val="center"/>
          </w:tcPr>
          <w:p w14:paraId="37E703F2" w14:textId="77777777" w:rsidR="001A4148" w:rsidRPr="729237F4" w:rsidRDefault="001A4148" w:rsidP="001A4148">
            <w:pPr>
              <w:bidi w:val="0"/>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62" w:type="dxa"/>
            <w:vMerge/>
            <w:shd w:val="clear" w:color="auto" w:fill="FFFFFF" w:themeFill="background1"/>
            <w:vAlign w:val="center"/>
          </w:tcPr>
          <w:p w14:paraId="348F39B3" w14:textId="77777777" w:rsidR="001A4148" w:rsidRPr="009F3EE8" w:rsidRDefault="001A4148" w:rsidP="001A4148">
            <w:pPr>
              <w:jc w:val="center"/>
              <w:rPr>
                <w:rFonts w:eastAsia="Calibri"/>
              </w:rPr>
            </w:pPr>
          </w:p>
        </w:tc>
        <w:tc>
          <w:tcPr>
            <w:tcW w:w="1743" w:type="dxa"/>
            <w:vMerge/>
            <w:shd w:val="clear" w:color="auto" w:fill="FFFFFF" w:themeFill="background1"/>
            <w:vAlign w:val="center"/>
          </w:tcPr>
          <w:p w14:paraId="75A5593F" w14:textId="77777777" w:rsidR="001A4148" w:rsidRPr="009F3EE8" w:rsidRDefault="001A4148" w:rsidP="001A4148">
            <w:pPr>
              <w:bidi w:val="0"/>
              <w:jc w:val="center"/>
              <w:cnfStyle w:val="010000000000" w:firstRow="0" w:lastRow="1"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6" w:type="dxa"/>
            <w:vMerge/>
            <w:shd w:val="clear" w:color="auto" w:fill="FFFFFF" w:themeFill="background1"/>
            <w:vAlign w:val="center"/>
          </w:tcPr>
          <w:p w14:paraId="635DC231" w14:textId="77777777" w:rsidR="001A4148" w:rsidRDefault="001A4148" w:rsidP="001A4148">
            <w:pPr>
              <w:bidi w:val="0"/>
              <w:jc w:val="center"/>
              <w:rPr>
                <w:b w:val="0"/>
                <w:bCs w:val="0"/>
                <w:i/>
                <w:iCs/>
                <w:sz w:val="20"/>
                <w:szCs w:val="20"/>
                <w:lang w:bidi="ar-BH"/>
              </w:rPr>
            </w:pPr>
          </w:p>
        </w:tc>
      </w:tr>
    </w:tbl>
    <w:p w14:paraId="5443E739" w14:textId="3706D23D" w:rsidR="36E12526" w:rsidRDefault="36E12526"/>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9D128C">
      <w:headerReference w:type="default" r:id="rId14"/>
      <w:footerReference w:type="default" r:id="rId15"/>
      <w:headerReference w:type="first" r:id="rId16"/>
      <w:footerReference w:type="first" r:id="rId17"/>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364C" w14:textId="77777777" w:rsidR="000F1EC7" w:rsidRDefault="000F1EC7" w:rsidP="008D60A3">
      <w:pPr>
        <w:pStyle w:val="ListParagraph"/>
        <w:spacing w:after="0" w:line="240" w:lineRule="auto"/>
      </w:pPr>
      <w:r>
        <w:separator/>
      </w:r>
    </w:p>
  </w:endnote>
  <w:endnote w:type="continuationSeparator" w:id="0">
    <w:p w14:paraId="7E7F6A9D" w14:textId="77777777" w:rsidR="000F1EC7" w:rsidRDefault="000F1EC7" w:rsidP="008D60A3">
      <w:pPr>
        <w:pStyle w:val="ListParagraph"/>
        <w:spacing w:after="0" w:line="240" w:lineRule="auto"/>
      </w:pPr>
      <w:r>
        <w:continuationSeparator/>
      </w:r>
    </w:p>
  </w:endnote>
  <w:endnote w:type="continuationNotice" w:id="1">
    <w:p w14:paraId="5EA28475" w14:textId="77777777" w:rsidR="000F1EC7" w:rsidRDefault="000F1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692F4F">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60DA" w14:textId="77777777" w:rsidR="000F1EC7" w:rsidRDefault="000F1EC7" w:rsidP="008D60A3">
      <w:pPr>
        <w:pStyle w:val="ListParagraph"/>
        <w:spacing w:after="0" w:line="240" w:lineRule="auto"/>
      </w:pPr>
      <w:r>
        <w:separator/>
      </w:r>
    </w:p>
  </w:footnote>
  <w:footnote w:type="continuationSeparator" w:id="0">
    <w:p w14:paraId="49F9A002" w14:textId="77777777" w:rsidR="000F1EC7" w:rsidRDefault="000F1EC7" w:rsidP="008D60A3">
      <w:pPr>
        <w:pStyle w:val="ListParagraph"/>
        <w:spacing w:after="0" w:line="240" w:lineRule="auto"/>
      </w:pPr>
      <w:r>
        <w:continuationSeparator/>
      </w:r>
    </w:p>
  </w:footnote>
  <w:footnote w:type="continuationNotice" w:id="1">
    <w:p w14:paraId="248C04C1" w14:textId="77777777" w:rsidR="000F1EC7" w:rsidRDefault="000F1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5705A01">
      <w:trPr>
        <w:trHeight w:val="1430"/>
      </w:trPr>
      <w:tc>
        <w:tcPr>
          <w:tcW w:w="1458" w:type="dxa"/>
          <w:vAlign w:val="center"/>
        </w:tcPr>
        <w:p w14:paraId="3B79A97C" w14:textId="77777777" w:rsidR="00A060D3" w:rsidRDefault="05705A01" w:rsidP="00C01879">
          <w:pPr>
            <w:bidi w:val="0"/>
            <w:rPr>
              <w:b/>
              <w:bCs/>
              <w:sz w:val="26"/>
              <w:szCs w:val="26"/>
              <w:lang w:bidi="ar-BH"/>
            </w:rPr>
          </w:pPr>
          <w:r>
            <w:rPr>
              <w:noProof/>
            </w:rPr>
            <w:drawing>
              <wp:inline distT="0" distB="0" distL="0" distR="0" wp14:anchorId="76984301" wp14:editId="1A61DC74">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28C4661"/>
    <w:multiLevelType w:val="hybridMultilevel"/>
    <w:tmpl w:val="50A2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10" w15:restartNumberingAfterBreak="0">
    <w:nsid w:val="1F2A531C"/>
    <w:multiLevelType w:val="hybridMultilevel"/>
    <w:tmpl w:val="F85ECA3C"/>
    <w:lvl w:ilvl="0" w:tplc="9774CDE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B1D3A"/>
    <w:multiLevelType w:val="hybridMultilevel"/>
    <w:tmpl w:val="0060BE6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5"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9"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3"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4"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6" w15:restartNumberingAfterBreak="0">
    <w:nsid w:val="5F812245"/>
    <w:multiLevelType w:val="hybridMultilevel"/>
    <w:tmpl w:val="CA1E6D4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7"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8"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9"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6"/>
  </w:num>
  <w:num w:numId="5">
    <w:abstractNumId w:val="25"/>
  </w:num>
  <w:num w:numId="6">
    <w:abstractNumId w:val="23"/>
  </w:num>
  <w:num w:numId="7">
    <w:abstractNumId w:val="29"/>
  </w:num>
  <w:num w:numId="8">
    <w:abstractNumId w:val="18"/>
  </w:num>
  <w:num w:numId="9">
    <w:abstractNumId w:val="1"/>
  </w:num>
  <w:num w:numId="10">
    <w:abstractNumId w:val="20"/>
  </w:num>
  <w:num w:numId="11">
    <w:abstractNumId w:val="21"/>
  </w:num>
  <w:num w:numId="12">
    <w:abstractNumId w:val="5"/>
  </w:num>
  <w:num w:numId="13">
    <w:abstractNumId w:val="3"/>
  </w:num>
  <w:num w:numId="14">
    <w:abstractNumId w:val="12"/>
  </w:num>
  <w:num w:numId="15">
    <w:abstractNumId w:val="2"/>
  </w:num>
  <w:num w:numId="16">
    <w:abstractNumId w:val="16"/>
  </w:num>
  <w:num w:numId="17">
    <w:abstractNumId w:val="4"/>
  </w:num>
  <w:num w:numId="18">
    <w:abstractNumId w:val="13"/>
  </w:num>
  <w:num w:numId="19">
    <w:abstractNumId w:val="11"/>
  </w:num>
  <w:num w:numId="20">
    <w:abstractNumId w:val="19"/>
  </w:num>
  <w:num w:numId="21">
    <w:abstractNumId w:val="24"/>
  </w:num>
  <w:num w:numId="22">
    <w:abstractNumId w:val="0"/>
  </w:num>
  <w:num w:numId="23">
    <w:abstractNumId w:val="15"/>
  </w:num>
  <w:num w:numId="24">
    <w:abstractNumId w:val="8"/>
  </w:num>
  <w:num w:numId="25">
    <w:abstractNumId w:val="17"/>
  </w:num>
  <w:num w:numId="26">
    <w:abstractNumId w:val="22"/>
  </w:num>
  <w:num w:numId="27">
    <w:abstractNumId w:val="26"/>
  </w:num>
  <w:num w:numId="28">
    <w:abstractNumId w:val="14"/>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2FF5"/>
    <w:rsid w:val="000907D7"/>
    <w:rsid w:val="00094E7A"/>
    <w:rsid w:val="000A173E"/>
    <w:rsid w:val="000A4250"/>
    <w:rsid w:val="000A55A4"/>
    <w:rsid w:val="000A5DE3"/>
    <w:rsid w:val="000A6F74"/>
    <w:rsid w:val="000B632F"/>
    <w:rsid w:val="000C641C"/>
    <w:rsid w:val="000F1EC7"/>
    <w:rsid w:val="00111A83"/>
    <w:rsid w:val="00115BFF"/>
    <w:rsid w:val="001249D3"/>
    <w:rsid w:val="00130ED6"/>
    <w:rsid w:val="00155ACF"/>
    <w:rsid w:val="00162CF8"/>
    <w:rsid w:val="00174BCC"/>
    <w:rsid w:val="001A34ED"/>
    <w:rsid w:val="001A4148"/>
    <w:rsid w:val="001A4E23"/>
    <w:rsid w:val="001C1C9C"/>
    <w:rsid w:val="001D342E"/>
    <w:rsid w:val="001E428D"/>
    <w:rsid w:val="002352D4"/>
    <w:rsid w:val="00240D63"/>
    <w:rsid w:val="00257E47"/>
    <w:rsid w:val="002991A5"/>
    <w:rsid w:val="002A3A40"/>
    <w:rsid w:val="002A5641"/>
    <w:rsid w:val="002F2888"/>
    <w:rsid w:val="003060E1"/>
    <w:rsid w:val="00316A65"/>
    <w:rsid w:val="00327372"/>
    <w:rsid w:val="003446C7"/>
    <w:rsid w:val="003459E6"/>
    <w:rsid w:val="00371A2D"/>
    <w:rsid w:val="00390E10"/>
    <w:rsid w:val="003A6BA5"/>
    <w:rsid w:val="003D2993"/>
    <w:rsid w:val="003D5F75"/>
    <w:rsid w:val="003E7318"/>
    <w:rsid w:val="00436D18"/>
    <w:rsid w:val="00442863"/>
    <w:rsid w:val="00462DF9"/>
    <w:rsid w:val="00466806"/>
    <w:rsid w:val="00491DC7"/>
    <w:rsid w:val="004B0E40"/>
    <w:rsid w:val="004B1C3C"/>
    <w:rsid w:val="004C48D7"/>
    <w:rsid w:val="004D7A63"/>
    <w:rsid w:val="004F6749"/>
    <w:rsid w:val="0051452A"/>
    <w:rsid w:val="00517603"/>
    <w:rsid w:val="0052567F"/>
    <w:rsid w:val="005323F0"/>
    <w:rsid w:val="00563AD9"/>
    <w:rsid w:val="00565E74"/>
    <w:rsid w:val="005702F1"/>
    <w:rsid w:val="00570427"/>
    <w:rsid w:val="005842CE"/>
    <w:rsid w:val="005A2056"/>
    <w:rsid w:val="005B449C"/>
    <w:rsid w:val="005C0E3F"/>
    <w:rsid w:val="005D1049"/>
    <w:rsid w:val="005D117C"/>
    <w:rsid w:val="005F7C18"/>
    <w:rsid w:val="005F7CAF"/>
    <w:rsid w:val="0060700C"/>
    <w:rsid w:val="00617739"/>
    <w:rsid w:val="00620F9F"/>
    <w:rsid w:val="0062377E"/>
    <w:rsid w:val="00633456"/>
    <w:rsid w:val="006351CA"/>
    <w:rsid w:val="00650E80"/>
    <w:rsid w:val="00653862"/>
    <w:rsid w:val="00685177"/>
    <w:rsid w:val="00692C3D"/>
    <w:rsid w:val="00692F4F"/>
    <w:rsid w:val="006A1927"/>
    <w:rsid w:val="006B0FE0"/>
    <w:rsid w:val="006BEB8C"/>
    <w:rsid w:val="006C52E6"/>
    <w:rsid w:val="006F5CCE"/>
    <w:rsid w:val="0070008A"/>
    <w:rsid w:val="00711B83"/>
    <w:rsid w:val="00731A44"/>
    <w:rsid w:val="0074011C"/>
    <w:rsid w:val="00740FC6"/>
    <w:rsid w:val="00746F37"/>
    <w:rsid w:val="007646A6"/>
    <w:rsid w:val="00770A63"/>
    <w:rsid w:val="007B1F5F"/>
    <w:rsid w:val="007B4EE6"/>
    <w:rsid w:val="007B84BD"/>
    <w:rsid w:val="007E58E6"/>
    <w:rsid w:val="007F100D"/>
    <w:rsid w:val="00837F6A"/>
    <w:rsid w:val="0084558C"/>
    <w:rsid w:val="00845B90"/>
    <w:rsid w:val="00861242"/>
    <w:rsid w:val="008B5CA9"/>
    <w:rsid w:val="008C2339"/>
    <w:rsid w:val="008D188A"/>
    <w:rsid w:val="008D60A3"/>
    <w:rsid w:val="0090061E"/>
    <w:rsid w:val="009043BF"/>
    <w:rsid w:val="00973A02"/>
    <w:rsid w:val="00975C62"/>
    <w:rsid w:val="00977EE0"/>
    <w:rsid w:val="00981E56"/>
    <w:rsid w:val="00987900"/>
    <w:rsid w:val="009C12DA"/>
    <w:rsid w:val="009C36DA"/>
    <w:rsid w:val="009D128C"/>
    <w:rsid w:val="009F25B2"/>
    <w:rsid w:val="009F3EE8"/>
    <w:rsid w:val="00A060D3"/>
    <w:rsid w:val="00A14659"/>
    <w:rsid w:val="00A30DD4"/>
    <w:rsid w:val="00A44CE7"/>
    <w:rsid w:val="00A4541A"/>
    <w:rsid w:val="00A47349"/>
    <w:rsid w:val="00A54452"/>
    <w:rsid w:val="00A746D9"/>
    <w:rsid w:val="00A934D0"/>
    <w:rsid w:val="00AC5E9F"/>
    <w:rsid w:val="00AF40B6"/>
    <w:rsid w:val="00AF6B28"/>
    <w:rsid w:val="00B11FBA"/>
    <w:rsid w:val="00B2527F"/>
    <w:rsid w:val="00B36F32"/>
    <w:rsid w:val="00B434AA"/>
    <w:rsid w:val="00B50686"/>
    <w:rsid w:val="00B55213"/>
    <w:rsid w:val="00B851FA"/>
    <w:rsid w:val="00B91935"/>
    <w:rsid w:val="00B92DE3"/>
    <w:rsid w:val="00BB28E9"/>
    <w:rsid w:val="00BD60AF"/>
    <w:rsid w:val="00BF673B"/>
    <w:rsid w:val="00C01879"/>
    <w:rsid w:val="00C06CA8"/>
    <w:rsid w:val="00C20903"/>
    <w:rsid w:val="00C20B6E"/>
    <w:rsid w:val="00C2558D"/>
    <w:rsid w:val="00C25CE9"/>
    <w:rsid w:val="00C31AB2"/>
    <w:rsid w:val="00C35DCD"/>
    <w:rsid w:val="00C42606"/>
    <w:rsid w:val="00C4289A"/>
    <w:rsid w:val="00C651D9"/>
    <w:rsid w:val="00C66DF6"/>
    <w:rsid w:val="00C9723B"/>
    <w:rsid w:val="00C97FE3"/>
    <w:rsid w:val="00CA1CEB"/>
    <w:rsid w:val="00CC03FD"/>
    <w:rsid w:val="00CE3C25"/>
    <w:rsid w:val="00CF4A2F"/>
    <w:rsid w:val="00D07761"/>
    <w:rsid w:val="00D10262"/>
    <w:rsid w:val="00D24F76"/>
    <w:rsid w:val="00D3312B"/>
    <w:rsid w:val="00DA2DE1"/>
    <w:rsid w:val="00DB1E21"/>
    <w:rsid w:val="00DC5FAF"/>
    <w:rsid w:val="00DC61BB"/>
    <w:rsid w:val="00DE6621"/>
    <w:rsid w:val="00DF5F97"/>
    <w:rsid w:val="00E067DD"/>
    <w:rsid w:val="00E07947"/>
    <w:rsid w:val="00E10E3B"/>
    <w:rsid w:val="00E14BCE"/>
    <w:rsid w:val="00E1699B"/>
    <w:rsid w:val="00E2408B"/>
    <w:rsid w:val="00E2563E"/>
    <w:rsid w:val="00E27DD3"/>
    <w:rsid w:val="00E60B3B"/>
    <w:rsid w:val="00E825A1"/>
    <w:rsid w:val="00E935E1"/>
    <w:rsid w:val="00EB02D7"/>
    <w:rsid w:val="00EB4330"/>
    <w:rsid w:val="00EC3750"/>
    <w:rsid w:val="00F0159A"/>
    <w:rsid w:val="00F36021"/>
    <w:rsid w:val="00F40168"/>
    <w:rsid w:val="00F838C4"/>
    <w:rsid w:val="00FA2162"/>
    <w:rsid w:val="00FC7083"/>
    <w:rsid w:val="00FD0E65"/>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705A01"/>
    <w:rsid w:val="059C2292"/>
    <w:rsid w:val="05CC38A6"/>
    <w:rsid w:val="064B64AF"/>
    <w:rsid w:val="06AAD74E"/>
    <w:rsid w:val="06E99C50"/>
    <w:rsid w:val="07AE2739"/>
    <w:rsid w:val="07EDC2DB"/>
    <w:rsid w:val="0834A38A"/>
    <w:rsid w:val="096869B9"/>
    <w:rsid w:val="096A86BC"/>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1BFB6E"/>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4E133D"/>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F774001E-37C9-42F5-A945-A8B2B3F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styleId="FollowedHyperlink">
    <w:name w:val="FollowedHyperlink"/>
    <w:basedOn w:val="DefaultParagraphFont"/>
    <w:uiPriority w:val="99"/>
    <w:semiHidden/>
    <w:unhideWhenUsed/>
    <w:rsid w:val="00987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knowledge.net/uobv3/language/en-US/eResourc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wiley.com/WileyCDA/WileyTitle/productCd-EHEP003226.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bcat.uob.edu.b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9</cp:revision>
  <cp:lastPrinted>2009-09-29T18:42:00Z</cp:lastPrinted>
  <dcterms:created xsi:type="dcterms:W3CDTF">2021-02-04T19:25:00Z</dcterms:created>
  <dcterms:modified xsi:type="dcterms:W3CDTF">2021-02-06T08:01:00Z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