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7604E8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553DCA99" w:rsidR="004C48D7" w:rsidRPr="007604E8" w:rsidRDefault="00E63427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ACC332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3368102D" w:rsidR="004C48D7" w:rsidRPr="007604E8" w:rsidRDefault="00E63427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Auditing II</w:t>
            </w:r>
          </w:p>
        </w:tc>
      </w:tr>
      <w:tr w:rsidR="004C48D7" w:rsidRPr="007604E8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College:</w:t>
            </w:r>
            <w:r w:rsidR="00C2558D" w:rsidRPr="007604E8">
              <w:rPr>
                <w:rFonts w:ascii="Times New Roman" w:hAnsi="Times New Roman" w:cs="Times New Roman"/>
                <w:lang w:bidi="ar-BH"/>
              </w:rPr>
              <w:t xml:space="preserve"> </w:t>
            </w:r>
            <w:r w:rsidR="00C2558D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7604E8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28CA4798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Department:</w:t>
            </w:r>
            <w:r w:rsidR="004F6749" w:rsidRPr="007604E8">
              <w:rPr>
                <w:rFonts w:ascii="Times New Roman" w:hAnsi="Times New Roman" w:cs="Times New Roman"/>
                <w:lang w:bidi="ar-BH"/>
              </w:rPr>
              <w:t xml:space="preserve"> </w:t>
            </w:r>
            <w:r w:rsidR="00E63427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Accounting</w:t>
            </w:r>
          </w:p>
        </w:tc>
      </w:tr>
      <w:tr w:rsidR="004C48D7" w:rsidRPr="007604E8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3CDF8140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Program: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</w:t>
            </w:r>
            <w:r w:rsidR="001C4FD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BSc.</w:t>
            </w:r>
          </w:p>
        </w:tc>
      </w:tr>
      <w:tr w:rsidR="004C48D7" w:rsidRPr="007604E8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credits: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7604E8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NQF Level</w:t>
            </w:r>
            <w:r w:rsidR="004F6749" w:rsidRPr="007604E8">
              <w:rPr>
                <w:rFonts w:ascii="Times New Roman" w:hAnsi="Times New Roman" w:cs="Times New Roman"/>
                <w:lang w:bidi="ar-BH"/>
              </w:rPr>
              <w:t>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6-7-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highlight w:val="yellow"/>
                <w:lang w:bidi="ar-BH"/>
              </w:rPr>
              <w:t>8</w:t>
            </w:r>
          </w:p>
        </w:tc>
      </w:tr>
      <w:tr w:rsidR="004C48D7" w:rsidRPr="007604E8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NQF Credits</w:t>
            </w:r>
            <w:r w:rsidR="004F6749" w:rsidRPr="007604E8">
              <w:rPr>
                <w:rFonts w:ascii="Times New Roman" w:hAnsi="Times New Roman" w:cs="Times New Roman"/>
                <w:lang w:bidi="ar-BH"/>
              </w:rPr>
              <w:t>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7604E8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39615872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Prerequisite: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</w:t>
            </w:r>
            <w:r w:rsidR="0030719A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ACC231</w:t>
            </w:r>
          </w:p>
        </w:tc>
      </w:tr>
      <w:tr w:rsidR="004C48D7" w:rsidRPr="007604E8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 xml:space="preserve">Lectures Timing &amp; Location:  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Online</w:t>
            </w:r>
          </w:p>
        </w:tc>
      </w:tr>
      <w:tr w:rsidR="004C48D7" w:rsidRPr="007604E8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web page: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7604E8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5A0FD139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Instructor:</w:t>
            </w:r>
            <w:r w:rsidR="004F6749" w:rsidRPr="007604E8">
              <w:rPr>
                <w:rFonts w:ascii="Times New Roman" w:hAnsi="Times New Roman" w:cs="Times New Roman"/>
                <w:lang w:bidi="ar-BH"/>
              </w:rPr>
              <w:t xml:space="preserve"> 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Dr. </w:t>
            </w:r>
            <w:r w:rsidR="00101DA6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Gehan A. Mousa</w:t>
            </w:r>
          </w:p>
        </w:tc>
      </w:tr>
      <w:tr w:rsidR="004C48D7" w:rsidRPr="007604E8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Office Hours and Location: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7604E8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3745E9FF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coordinator:</w:t>
            </w:r>
            <w:r w:rsidR="004F6749" w:rsidRPr="007604E8">
              <w:rPr>
                <w:rFonts w:ascii="Times New Roman" w:hAnsi="Times New Roman" w:cs="Times New Roman"/>
                <w:lang w:bidi="ar-BH"/>
              </w:rPr>
              <w:t xml:space="preserve"> 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Dr. </w:t>
            </w:r>
            <w:r w:rsidR="00101DA6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>Dr. Gehan A. Mousa</w:t>
            </w:r>
          </w:p>
        </w:tc>
      </w:tr>
      <w:tr w:rsidR="004C48D7" w:rsidRPr="007604E8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Academic year:</w:t>
            </w:r>
            <w:r w:rsidR="004F6749"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7604E8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7604E8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7604E8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7604E8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7604E8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7604E8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7604E8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b/>
                <w:bCs/>
                <w:lang w:bidi="ar-BH"/>
              </w:rPr>
              <w:t>Summer</w:t>
            </w:r>
          </w:p>
        </w:tc>
      </w:tr>
      <w:tr w:rsidR="004C48D7" w:rsidRPr="007604E8" w14:paraId="6F7447E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4938F2B2" w14:textId="77777777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Textbook(s):</w:t>
            </w:r>
          </w:p>
          <w:p w14:paraId="56D71690" w14:textId="77777777" w:rsidR="00B953F3" w:rsidRPr="00B953F3" w:rsidRDefault="00B953F3" w:rsidP="00B953F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4"/>
            </w:tblGrid>
            <w:tr w:rsidR="00B953F3" w:rsidRPr="00B953F3" w14:paraId="783A7800" w14:textId="77777777">
              <w:trPr>
                <w:trHeight w:val="253"/>
              </w:trPr>
              <w:tc>
                <w:tcPr>
                  <w:tcW w:w="8404" w:type="dxa"/>
                </w:tcPr>
                <w:p w14:paraId="1489742C" w14:textId="77777777" w:rsidR="00B953F3" w:rsidRPr="00B953F3" w:rsidRDefault="00B953F3" w:rsidP="00A57F82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B953F3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Elder, Beasley, Hogan and </w:t>
                  </w:r>
                  <w:proofErr w:type="spellStart"/>
                  <w:r w:rsidRPr="00B953F3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Arens</w:t>
                  </w:r>
                  <w:proofErr w:type="spellEnd"/>
                  <w:r w:rsidRPr="00B953F3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, “Auditing and Assurance Services, 17 </w:t>
                  </w:r>
                  <w:proofErr w:type="spellStart"/>
                  <w:r w:rsidRPr="00B953F3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th</w:t>
                  </w:r>
                  <w:proofErr w:type="spellEnd"/>
                  <w:r w:rsidRPr="00B953F3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ed”. PEARSON, Global Edition, 2020. </w:t>
                  </w:r>
                  <w:proofErr w:type="gramStart"/>
                  <w:r w:rsidRPr="00B953F3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https:www.pearsonhighered.com</w:t>
                  </w:r>
                  <w:proofErr w:type="gramEnd"/>
                  <w:r w:rsidRPr="00B953F3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</w:t>
                  </w:r>
                </w:p>
              </w:tc>
            </w:tr>
          </w:tbl>
          <w:p w14:paraId="6B3BC7FE" w14:textId="77777777" w:rsidR="004C48D7" w:rsidRPr="007604E8" w:rsidRDefault="004C48D7" w:rsidP="004C48D7">
            <w:pPr>
              <w:pStyle w:val="ListParagraph"/>
              <w:bidi w:val="0"/>
              <w:ind w:left="471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</w:p>
        </w:tc>
      </w:tr>
      <w:tr w:rsidR="004C48D7" w:rsidRPr="007604E8" w14:paraId="3E448A70" w14:textId="77777777" w:rsidTr="0047212A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0A3BAB6E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lastRenderedPageBreak/>
              <w:t>References</w:t>
            </w:r>
            <w:r w:rsidR="004F6749" w:rsidRPr="007604E8">
              <w:rPr>
                <w:rFonts w:ascii="Times New Roman" w:hAnsi="Times New Roman" w:cs="Times New Roman"/>
                <w:lang w:bidi="ar-BH"/>
              </w:rPr>
              <w:t xml:space="preserve"> from the Library (</w:t>
            </w:r>
            <w:hyperlink r:id="rId11" w:history="1">
              <w:r w:rsidR="004F6749" w:rsidRPr="007604E8">
                <w:rPr>
                  <w:rStyle w:val="Hyperlink"/>
                  <w:rFonts w:ascii="Times New Roman" w:hAnsi="Times New Roman" w:cs="Times New Roman"/>
                  <w:lang w:bidi="ar-BH"/>
                </w:rPr>
                <w:t>http://www.ac-knowledge.net/uobv3/</w:t>
              </w:r>
            </w:hyperlink>
            <w:r w:rsidR="004F6749" w:rsidRPr="007604E8">
              <w:rPr>
                <w:rFonts w:ascii="Times New Roman" w:hAnsi="Times New Roman" w:cs="Times New Roman"/>
                <w:lang w:bidi="ar-BH"/>
              </w:rPr>
              <w:t>)</w:t>
            </w:r>
            <w:r w:rsidRPr="007604E8">
              <w:rPr>
                <w:rFonts w:ascii="Times New Roman" w:hAnsi="Times New Roman" w:cs="Times New Roman"/>
                <w:lang w:bidi="ar-BH"/>
              </w:rPr>
              <w:t>:</w:t>
            </w:r>
            <w:r w:rsidR="004F6749" w:rsidRPr="007604E8">
              <w:rPr>
                <w:rFonts w:ascii="Times New Roman" w:hAnsi="Times New Roman" w:cs="Times New Roman"/>
                <w:lang w:bidi="ar-BH"/>
              </w:rPr>
              <w:t xml:space="preserve"> </w:t>
            </w:r>
          </w:p>
          <w:p w14:paraId="7EDAD19B" w14:textId="77777777" w:rsidR="0047212A" w:rsidRPr="0047212A" w:rsidRDefault="0047212A" w:rsidP="0047212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0"/>
            </w:tblGrid>
            <w:tr w:rsidR="0047212A" w:rsidRPr="0047212A" w14:paraId="6BE12B44" w14:textId="77777777" w:rsidTr="0047212A">
              <w:trPr>
                <w:trHeight w:val="79"/>
              </w:trPr>
              <w:tc>
                <w:tcPr>
                  <w:tcW w:w="8430" w:type="dxa"/>
                </w:tcPr>
                <w:p w14:paraId="2BA82005" w14:textId="77777777" w:rsidR="0047212A" w:rsidRPr="0047212A" w:rsidRDefault="0047212A" w:rsidP="0047212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-1321" w:firstLine="1321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47212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Bahram </w:t>
                  </w:r>
                  <w:proofErr w:type="spellStart"/>
                  <w:proofErr w:type="gramStart"/>
                  <w:r w:rsidRPr="0047212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Soltani</w:t>
                  </w:r>
                  <w:proofErr w:type="spellEnd"/>
                  <w:r w:rsidRPr="0047212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,</w:t>
                  </w:r>
                  <w:proofErr w:type="gramEnd"/>
                  <w:r w:rsidRPr="0047212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Auditing An International Approach", Prentice Hall, 2007. </w:t>
                  </w:r>
                </w:p>
              </w:tc>
            </w:tr>
          </w:tbl>
          <w:p w14:paraId="083A43B7" w14:textId="4C4F8374" w:rsidR="00C2558D" w:rsidRPr="007604E8" w:rsidRDefault="00C2558D" w:rsidP="00C2558D">
            <w:pPr>
              <w:pStyle w:val="ListParagraph"/>
              <w:bidi w:val="0"/>
              <w:ind w:left="471"/>
              <w:rPr>
                <w:rFonts w:ascii="Times New Roman" w:hAnsi="Times New Roman" w:cs="Times New Roman"/>
                <w:lang w:bidi="ar-BH"/>
              </w:rPr>
            </w:pPr>
          </w:p>
        </w:tc>
      </w:tr>
      <w:tr w:rsidR="004C48D7" w:rsidRPr="007604E8" w14:paraId="4EB75FC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Other learning resources used (e.g. e-Learning, field visits, periodicals, software, etc.):</w:t>
            </w:r>
          </w:p>
          <w:p w14:paraId="31BEC8D0" w14:textId="77777777" w:rsidR="00170939" w:rsidRPr="007604E8" w:rsidRDefault="00170939" w:rsidP="001709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00"/>
            </w:tblGrid>
            <w:tr w:rsidR="00170939" w:rsidRPr="007604E8" w14:paraId="22652470" w14:textId="77777777" w:rsidTr="00170939">
              <w:trPr>
                <w:trHeight w:val="81"/>
              </w:trPr>
              <w:tc>
                <w:tcPr>
                  <w:tcW w:w="8600" w:type="dxa"/>
                </w:tcPr>
                <w:p w14:paraId="7F2AA767" w14:textId="77777777" w:rsidR="00170939" w:rsidRPr="007604E8" w:rsidRDefault="00170939" w:rsidP="0017093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04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Blackboard Material. </w:t>
                  </w:r>
                </w:p>
              </w:tc>
            </w:tr>
          </w:tbl>
          <w:p w14:paraId="667FC50D" w14:textId="1D33A6A5" w:rsidR="004F6749" w:rsidRPr="007604E8" w:rsidRDefault="00170939" w:rsidP="004F6749">
            <w:pPr>
              <w:bidi w:val="0"/>
              <w:ind w:left="111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 </w:t>
            </w:r>
          </w:p>
        </w:tc>
      </w:tr>
      <w:tr w:rsidR="004C48D7" w:rsidRPr="007604E8" w14:paraId="0F54453B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Pr="007604E8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description (as per the published):</w:t>
            </w:r>
          </w:p>
          <w:tbl>
            <w:tblPr>
              <w:bidiVisual/>
              <w:tblW w:w="87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42"/>
            </w:tblGrid>
            <w:tr w:rsidR="00BD5A65" w:rsidRPr="007604E8" w14:paraId="6510C4A5" w14:textId="77777777" w:rsidTr="00BD5A65">
              <w:trPr>
                <w:trHeight w:val="513"/>
              </w:trPr>
              <w:tc>
                <w:tcPr>
                  <w:tcW w:w="8742" w:type="dxa"/>
                </w:tcPr>
                <w:p w14:paraId="5EF7D770" w14:textId="77777777" w:rsidR="00BD5A65" w:rsidRPr="007604E8" w:rsidRDefault="00BD5A65" w:rsidP="007604E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04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Integrated audit of financial statements and internal control of public companies. It includes: understanding and evaluating internal control; an overview of audit plan and audit program; audit of the sales and collection cycle; audit sampling; audit of payroll and personnel cycle; audit of inventory warehousing; audit of cash balances; completing the audit; current issues in auditing. </w:t>
                  </w:r>
                </w:p>
              </w:tc>
            </w:tr>
          </w:tbl>
          <w:p w14:paraId="234B0039" w14:textId="4F54C96E" w:rsidR="004C48D7" w:rsidRPr="007604E8" w:rsidRDefault="00BD5A65" w:rsidP="007604E8">
            <w:pPr>
              <w:bidi w:val="0"/>
              <w:jc w:val="both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 xml:space="preserve"> </w:t>
            </w:r>
          </w:p>
        </w:tc>
      </w:tr>
      <w:tr w:rsidR="00257E47" w:rsidRPr="007604E8" w14:paraId="1E299D95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7604E8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Intended Learning Outcomes (CILOs)</w:t>
            </w:r>
            <w:r w:rsidR="003E7318" w:rsidRPr="007604E8">
              <w:rPr>
                <w:rFonts w:ascii="Times New Roman" w:hAnsi="Times New Roman" w:cs="Times New Roman"/>
                <w:lang w:bidi="ar-BH"/>
              </w:rPr>
              <w:t>:</w:t>
            </w:r>
          </w:p>
        </w:tc>
      </w:tr>
      <w:tr w:rsidR="00EB4330" w:rsidRPr="007604E8" w14:paraId="119CD95C" w14:textId="77777777" w:rsidTr="00C255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7604E8" w:rsidRDefault="00C2558D" w:rsidP="00C2558D">
            <w:pPr>
              <w:bidi w:val="0"/>
              <w:ind w:left="-44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7604E8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Mapping</w:t>
            </w:r>
            <w:r w:rsidR="00240D63" w:rsidRPr="007604E8">
              <w:rPr>
                <w:rFonts w:ascii="Times New Roman" w:hAnsi="Times New Roman" w:cs="Times New Roman"/>
                <w:i/>
                <w:iCs/>
                <w:lang w:bidi="ar-BH"/>
              </w:rPr>
              <w:t xml:space="preserve"> </w:t>
            </w: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to PILOs</w:t>
            </w:r>
          </w:p>
        </w:tc>
      </w:tr>
      <w:tr w:rsidR="00C2558D" w:rsidRPr="007604E8" w14:paraId="63AFCDED" w14:textId="77777777" w:rsidTr="00C2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7604E8" w:rsidRDefault="00C2558D" w:rsidP="00C2558D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7604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7604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7604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7604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7604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7604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f. Values</w:t>
            </w:r>
          </w:p>
        </w:tc>
      </w:tr>
      <w:tr w:rsidR="00E10E3B" w:rsidRPr="007604E8" w14:paraId="40CDE3EF" w14:textId="77777777" w:rsidTr="00C2558D">
        <w:trPr>
          <w:cantSplit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7604E8" w:rsidRDefault="00C2558D" w:rsidP="00C2558D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7604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7604E8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7604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10E3B" w:rsidRPr="007604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10E3B" w:rsidRPr="007604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f2: Social responsibility</w:t>
            </w:r>
          </w:p>
        </w:tc>
      </w:tr>
      <w:tr w:rsidR="00E10E3B" w:rsidRPr="007604E8" w14:paraId="41CE9932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tbl>
            <w:tblPr>
              <w:bidiVisual/>
              <w:tblW w:w="33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8"/>
            </w:tblGrid>
            <w:tr w:rsidR="00BD5A65" w:rsidRPr="00BD5A65" w14:paraId="286EA9BE" w14:textId="77777777" w:rsidTr="00BD5A65">
              <w:trPr>
                <w:trHeight w:val="268"/>
              </w:trPr>
              <w:tc>
                <w:tcPr>
                  <w:tcW w:w="3308" w:type="dxa"/>
                </w:tcPr>
                <w:p w14:paraId="501A9FBB" w14:textId="500A6B95" w:rsidR="00BD5A65" w:rsidRPr="00BD5A65" w:rsidRDefault="00BD5A65" w:rsidP="007604E8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BD5A65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1. Evaluate the components’ internal control system to assess the effectiveness of the system and its impact on the financial statements. </w:t>
                  </w:r>
                </w:p>
              </w:tc>
            </w:tr>
          </w:tbl>
          <w:p w14:paraId="3A686BDB" w14:textId="3872AB93" w:rsidR="00E10E3B" w:rsidRPr="007604E8" w:rsidRDefault="00E10E3B" w:rsidP="007604E8">
            <w:pPr>
              <w:bidi w:val="0"/>
              <w:jc w:val="both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6B9A8F4" w14:textId="77777777" w:rsidR="00480E12" w:rsidRPr="00480E12" w:rsidRDefault="00480E12" w:rsidP="000E210A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80E12" w:rsidRPr="00480E12" w14:paraId="7C3AF3CF" w14:textId="77777777">
              <w:trPr>
                <w:trHeight w:val="110"/>
              </w:trPr>
              <w:tc>
                <w:tcPr>
                  <w:tcW w:w="216" w:type="dxa"/>
                </w:tcPr>
                <w:p w14:paraId="1B9347EC" w14:textId="1C3FB7F8" w:rsidR="00480E12" w:rsidRPr="00480E12" w:rsidRDefault="00480E12" w:rsidP="000E210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480E12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52FE8EF8" w14:textId="0D5722F2" w:rsidR="00E10E3B" w:rsidRPr="007604E8" w:rsidRDefault="00E10E3B" w:rsidP="000E210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BB8D13A" w14:textId="77777777" w:rsidR="00480E12" w:rsidRPr="00480E12" w:rsidRDefault="00480E12" w:rsidP="000E210A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80E12" w:rsidRPr="00480E12" w14:paraId="456A2B0C" w14:textId="77777777">
              <w:trPr>
                <w:trHeight w:val="110"/>
              </w:trPr>
              <w:tc>
                <w:tcPr>
                  <w:tcW w:w="216" w:type="dxa"/>
                </w:tcPr>
                <w:p w14:paraId="1C3F59F1" w14:textId="258B7B10" w:rsidR="00480E12" w:rsidRPr="00480E12" w:rsidRDefault="00480E12" w:rsidP="000E210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480E12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0ABF94D7" w14:textId="77777777" w:rsidR="00E10E3B" w:rsidRPr="007604E8" w:rsidRDefault="00E10E3B" w:rsidP="000E210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2BDC04A" w14:textId="77777777" w:rsidR="00E10E3B" w:rsidRPr="007604E8" w:rsidRDefault="00E10E3B" w:rsidP="000E210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486BBF5" w14:textId="77777777" w:rsidR="00E10E3B" w:rsidRPr="007604E8" w:rsidRDefault="00E10E3B" w:rsidP="000E210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D52D02A" w14:textId="77777777" w:rsidR="00EF1D9A" w:rsidRPr="00EF1D9A" w:rsidRDefault="00EF1D9A" w:rsidP="00C772A6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1D9A" w:rsidRPr="00EF1D9A" w14:paraId="0A86E8EC" w14:textId="77777777">
              <w:trPr>
                <w:trHeight w:val="110"/>
              </w:trPr>
              <w:tc>
                <w:tcPr>
                  <w:tcW w:w="216" w:type="dxa"/>
                </w:tcPr>
                <w:p w14:paraId="3D088298" w14:textId="6C4DEEFC" w:rsidR="00EF1D9A" w:rsidRPr="00EF1D9A" w:rsidRDefault="00EF1D9A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EF1D9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6FE5A78D" w14:textId="77777777" w:rsidR="00E10E3B" w:rsidRPr="007604E8" w:rsidRDefault="00E10E3B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25BB118" w14:textId="77777777" w:rsidR="00EF1D9A" w:rsidRPr="00EF1D9A" w:rsidRDefault="00EF1D9A" w:rsidP="00C772A6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1D9A" w:rsidRPr="00EF1D9A" w14:paraId="27AAB10D" w14:textId="77777777">
              <w:trPr>
                <w:trHeight w:val="110"/>
              </w:trPr>
              <w:tc>
                <w:tcPr>
                  <w:tcW w:w="216" w:type="dxa"/>
                </w:tcPr>
                <w:p w14:paraId="02A5A4AA" w14:textId="26BAABCC" w:rsidR="00EF1D9A" w:rsidRPr="00EF1D9A" w:rsidRDefault="00EF1D9A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EF1D9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5859CEAC" w14:textId="77777777" w:rsidR="00E10E3B" w:rsidRPr="007604E8" w:rsidRDefault="00E10E3B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408E03C4" w14:textId="77777777" w:rsidR="000E210A" w:rsidRPr="000E210A" w:rsidRDefault="000E210A" w:rsidP="00C772A6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E210A" w:rsidRPr="000E210A" w14:paraId="019872EC" w14:textId="77777777">
              <w:trPr>
                <w:trHeight w:val="110"/>
              </w:trPr>
              <w:tc>
                <w:tcPr>
                  <w:tcW w:w="216" w:type="dxa"/>
                </w:tcPr>
                <w:p w14:paraId="23334987" w14:textId="091BF3A4" w:rsidR="000E210A" w:rsidRPr="000E210A" w:rsidRDefault="000E210A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0E210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085A7F78" w14:textId="77777777" w:rsidR="00E10E3B" w:rsidRPr="007604E8" w:rsidRDefault="00E10E3B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7777777" w:rsidR="00E10E3B" w:rsidRPr="007604E8" w:rsidRDefault="00E10E3B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B231B4" w14:textId="77777777" w:rsidR="00E10E3B" w:rsidRPr="007604E8" w:rsidRDefault="00E10E3B" w:rsidP="004F6749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E10E3B" w:rsidRPr="007604E8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C50F07A" w14:textId="77777777" w:rsidR="00E10E3B" w:rsidRPr="007604E8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826566F" w14:textId="77777777" w:rsidR="00E10E3B" w:rsidRPr="007604E8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</w:tr>
      <w:tr w:rsidR="00E10E3B" w:rsidRPr="007604E8" w14:paraId="4CE48AD1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tbl>
            <w:tblPr>
              <w:bidiVisual/>
              <w:tblW w:w="32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4"/>
            </w:tblGrid>
            <w:tr w:rsidR="00532D0F" w:rsidRPr="00532D0F" w14:paraId="544772D0" w14:textId="77777777" w:rsidTr="00532D0F">
              <w:trPr>
                <w:trHeight w:val="202"/>
              </w:trPr>
              <w:tc>
                <w:tcPr>
                  <w:tcW w:w="3244" w:type="dxa"/>
                </w:tcPr>
                <w:p w14:paraId="48432DF9" w14:textId="5E0CD59E" w:rsidR="00532D0F" w:rsidRPr="00532D0F" w:rsidRDefault="00C2558D" w:rsidP="007604E8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7604E8">
                    <w:rPr>
                      <w:rFonts w:ascii="Times New Roman" w:hAnsi="Times New Roman" w:cs="Times New Roman"/>
                      <w:lang w:bidi="ar-BH"/>
                    </w:rPr>
                    <w:t xml:space="preserve">2. </w:t>
                  </w:r>
                  <w:r w:rsidR="00532D0F" w:rsidRPr="00532D0F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Prepare an overall audit plan and audit program by integrating the four phases of the audit process. </w:t>
                  </w:r>
                </w:p>
              </w:tc>
            </w:tr>
          </w:tbl>
          <w:p w14:paraId="1EB5908E" w14:textId="540C68BB" w:rsidR="00E10E3B" w:rsidRPr="007604E8" w:rsidRDefault="00E10E3B" w:rsidP="007604E8">
            <w:pPr>
              <w:bidi w:val="0"/>
              <w:jc w:val="both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67748E4" w14:textId="77777777" w:rsidR="00E10E3B" w:rsidRPr="007604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DCF30DC" w14:textId="77777777" w:rsidR="000E210A" w:rsidRPr="000E210A" w:rsidRDefault="000E210A" w:rsidP="00C772A6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E210A" w:rsidRPr="000E210A" w14:paraId="48F404ED" w14:textId="77777777">
              <w:trPr>
                <w:trHeight w:val="110"/>
              </w:trPr>
              <w:tc>
                <w:tcPr>
                  <w:tcW w:w="216" w:type="dxa"/>
                </w:tcPr>
                <w:p w14:paraId="409255D8" w14:textId="587E67EC" w:rsidR="000E210A" w:rsidRPr="000E210A" w:rsidRDefault="000E210A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0E210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19341A3D" w14:textId="77777777" w:rsidR="00E10E3B" w:rsidRPr="007604E8" w:rsidRDefault="00E10E3B" w:rsidP="00C772A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E10E3B" w:rsidRPr="007604E8" w:rsidRDefault="00E10E3B" w:rsidP="00C772A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6D643EF9" w14:textId="77777777" w:rsidR="000E210A" w:rsidRPr="000E210A" w:rsidRDefault="000E210A" w:rsidP="00C772A6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E210A" w:rsidRPr="000E210A" w14:paraId="16CB9C91" w14:textId="77777777">
              <w:trPr>
                <w:trHeight w:val="110"/>
              </w:trPr>
              <w:tc>
                <w:tcPr>
                  <w:tcW w:w="216" w:type="dxa"/>
                </w:tcPr>
                <w:p w14:paraId="39D0B564" w14:textId="4CF7B218" w:rsidR="000E210A" w:rsidRPr="000E210A" w:rsidRDefault="000E210A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0E210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57B11D08" w14:textId="77777777" w:rsidR="00E10E3B" w:rsidRPr="007604E8" w:rsidRDefault="00E10E3B" w:rsidP="00C772A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EDF695B" w14:textId="77777777" w:rsidR="000E210A" w:rsidRPr="000E210A" w:rsidRDefault="000E210A" w:rsidP="00C772A6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E210A" w:rsidRPr="000E210A" w14:paraId="277262BD" w14:textId="77777777">
              <w:trPr>
                <w:trHeight w:val="110"/>
              </w:trPr>
              <w:tc>
                <w:tcPr>
                  <w:tcW w:w="216" w:type="dxa"/>
                </w:tcPr>
                <w:p w14:paraId="3BD9A3EC" w14:textId="7F59242C" w:rsidR="000E210A" w:rsidRPr="000E210A" w:rsidRDefault="000E210A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0E210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40B3A122" w14:textId="77777777" w:rsidR="00E10E3B" w:rsidRPr="007604E8" w:rsidRDefault="00E10E3B" w:rsidP="00C772A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36FC233" w14:textId="77777777" w:rsidR="000E210A" w:rsidRPr="000E210A" w:rsidRDefault="000E210A" w:rsidP="00C772A6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E210A" w:rsidRPr="000E210A" w14:paraId="2D3D36B6" w14:textId="77777777">
              <w:trPr>
                <w:trHeight w:val="110"/>
              </w:trPr>
              <w:tc>
                <w:tcPr>
                  <w:tcW w:w="216" w:type="dxa"/>
                </w:tcPr>
                <w:p w14:paraId="3179EB1B" w14:textId="039E1064" w:rsidR="000E210A" w:rsidRPr="000E210A" w:rsidRDefault="000E210A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0E210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46397E67" w14:textId="77777777" w:rsidR="00E10E3B" w:rsidRPr="007604E8" w:rsidRDefault="00E10E3B" w:rsidP="00C772A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E10E3B" w:rsidRPr="007604E8" w:rsidRDefault="00E10E3B" w:rsidP="00C772A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E10E3B" w:rsidRPr="007604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E10E3B" w:rsidRPr="007604E8" w:rsidRDefault="00E10E3B" w:rsidP="004F6749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1F949B" w14:textId="77777777" w:rsidR="00E10E3B" w:rsidRPr="007604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94EF5F" w14:textId="77777777" w:rsidR="00E10E3B" w:rsidRPr="007604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BB01363" w14:textId="77777777" w:rsidR="00E10E3B" w:rsidRPr="007604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</w:tr>
      <w:tr w:rsidR="00C772A6" w:rsidRPr="007604E8" w14:paraId="3D9B3095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tbl>
            <w:tblPr>
              <w:bidiVisual/>
              <w:tblW w:w="33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3"/>
            </w:tblGrid>
            <w:tr w:rsidR="00C772A6" w:rsidRPr="00532D0F" w14:paraId="4E1212C2" w14:textId="77777777" w:rsidTr="00532D0F">
              <w:trPr>
                <w:trHeight w:val="398"/>
              </w:trPr>
              <w:tc>
                <w:tcPr>
                  <w:tcW w:w="3343" w:type="dxa"/>
                </w:tcPr>
                <w:p w14:paraId="6EABC0D8" w14:textId="1F8FAF65" w:rsidR="00C772A6" w:rsidRPr="00532D0F" w:rsidRDefault="00C772A6" w:rsidP="007604E8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7604E8">
                    <w:rPr>
                      <w:rFonts w:ascii="Times New Roman" w:hAnsi="Times New Roman" w:cs="Times New Roman"/>
                      <w:lang w:bidi="ar-BH"/>
                    </w:rPr>
                    <w:t xml:space="preserve">3. </w:t>
                  </w:r>
                  <w:r w:rsidRPr="00532D0F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Apply the transactions related and balance related audit objectives for a sample of accounting cycles and audit tests. </w:t>
                  </w:r>
                </w:p>
              </w:tc>
            </w:tr>
          </w:tbl>
          <w:p w14:paraId="5C4A9E1C" w14:textId="266672B9" w:rsidR="00C772A6" w:rsidRPr="007604E8" w:rsidRDefault="00C772A6" w:rsidP="007604E8">
            <w:pPr>
              <w:bidi w:val="0"/>
              <w:jc w:val="both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5A08245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B6ECD92" w14:textId="77777777" w:rsidR="00C772A6" w:rsidRPr="00C772A6" w:rsidRDefault="00C772A6" w:rsidP="00C772A6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772A6" w:rsidRPr="00C772A6" w14:paraId="50F52A29" w14:textId="77777777">
              <w:trPr>
                <w:trHeight w:val="110"/>
              </w:trPr>
              <w:tc>
                <w:tcPr>
                  <w:tcW w:w="216" w:type="dxa"/>
                </w:tcPr>
                <w:p w14:paraId="34D0FFE1" w14:textId="77777777" w:rsidR="00C772A6" w:rsidRPr="00C772A6" w:rsidRDefault="00C772A6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C772A6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√ </w:t>
                  </w:r>
                </w:p>
              </w:tc>
            </w:tr>
          </w:tbl>
          <w:p w14:paraId="69B272B2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0A597517" w14:textId="77777777" w:rsidR="00C772A6" w:rsidRPr="00C772A6" w:rsidRDefault="00C772A6" w:rsidP="00C772A6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772A6" w:rsidRPr="00C772A6" w14:paraId="4E73508A" w14:textId="77777777">
              <w:trPr>
                <w:trHeight w:val="110"/>
              </w:trPr>
              <w:tc>
                <w:tcPr>
                  <w:tcW w:w="216" w:type="dxa"/>
                </w:tcPr>
                <w:p w14:paraId="24EDB632" w14:textId="77777777" w:rsidR="00C772A6" w:rsidRPr="00C772A6" w:rsidRDefault="00C772A6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C772A6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√ </w:t>
                  </w:r>
                </w:p>
              </w:tc>
            </w:tr>
          </w:tbl>
          <w:p w14:paraId="238AC9A9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6CC0900" w14:textId="77777777" w:rsidR="00C772A6" w:rsidRPr="00C772A6" w:rsidRDefault="00C772A6" w:rsidP="00C772A6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772A6" w:rsidRPr="00C772A6" w14:paraId="7CE7CABC" w14:textId="77777777">
              <w:trPr>
                <w:trHeight w:val="110"/>
              </w:trPr>
              <w:tc>
                <w:tcPr>
                  <w:tcW w:w="216" w:type="dxa"/>
                </w:tcPr>
                <w:p w14:paraId="0C8246EE" w14:textId="77777777" w:rsidR="00C772A6" w:rsidRPr="00C772A6" w:rsidRDefault="00C772A6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C772A6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√ </w:t>
                  </w:r>
                </w:p>
              </w:tc>
            </w:tr>
          </w:tbl>
          <w:p w14:paraId="1E67274C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AF4836B" w14:textId="77777777" w:rsidR="00C772A6" w:rsidRPr="00C772A6" w:rsidRDefault="00C772A6" w:rsidP="00C772A6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772A6" w:rsidRPr="00C772A6" w14:paraId="15B99CC6" w14:textId="77777777">
              <w:trPr>
                <w:trHeight w:val="110"/>
              </w:trPr>
              <w:tc>
                <w:tcPr>
                  <w:tcW w:w="216" w:type="dxa"/>
                </w:tcPr>
                <w:p w14:paraId="61625DE9" w14:textId="77777777" w:rsidR="00C772A6" w:rsidRPr="00C772A6" w:rsidRDefault="00C772A6" w:rsidP="00C772A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C772A6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√ </w:t>
                  </w:r>
                </w:p>
              </w:tc>
            </w:tr>
          </w:tbl>
          <w:p w14:paraId="765B4C59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C772A6" w:rsidRPr="007604E8" w:rsidRDefault="00C772A6" w:rsidP="00C772A6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085C81A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75A69C2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9808ED" w14:textId="77777777" w:rsidR="00C772A6" w:rsidRPr="007604E8" w:rsidRDefault="00C772A6" w:rsidP="00C772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</w:tr>
      <w:tr w:rsidR="00EA5C8E" w:rsidRPr="007604E8" w14:paraId="4B90FC03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tbl>
            <w:tblPr>
              <w:bidiVisual/>
              <w:tblW w:w="32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9"/>
            </w:tblGrid>
            <w:tr w:rsidR="00EA5C8E" w:rsidRPr="004C250C" w14:paraId="1A7C6451" w14:textId="77777777" w:rsidTr="004C250C">
              <w:trPr>
                <w:trHeight w:val="304"/>
              </w:trPr>
              <w:tc>
                <w:tcPr>
                  <w:tcW w:w="3269" w:type="dxa"/>
                </w:tcPr>
                <w:p w14:paraId="2DD333F1" w14:textId="743E1545" w:rsidR="00EA5C8E" w:rsidRPr="004C250C" w:rsidRDefault="00EA5C8E" w:rsidP="007604E8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7604E8">
                    <w:rPr>
                      <w:rFonts w:ascii="Times New Roman" w:hAnsi="Times New Roman" w:cs="Times New Roman"/>
                      <w:lang w:bidi="ar-BH"/>
                    </w:rPr>
                    <w:t xml:space="preserve">4. </w:t>
                  </w:r>
                  <w:r w:rsidRPr="004C250C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Determine the appropriate audit report for different audit situations. </w:t>
                  </w:r>
                </w:p>
              </w:tc>
            </w:tr>
          </w:tbl>
          <w:p w14:paraId="7C8456EF" w14:textId="31214102" w:rsidR="00EA5C8E" w:rsidRPr="007604E8" w:rsidRDefault="00EA5C8E" w:rsidP="007604E8">
            <w:pPr>
              <w:bidi w:val="0"/>
              <w:jc w:val="both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C07FB2B" w14:textId="77777777" w:rsidR="00EA5C8E" w:rsidRPr="007604E8" w:rsidRDefault="00EA5C8E" w:rsidP="00EA5C8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93B93A3" w14:textId="77777777" w:rsidR="00EA5C8E" w:rsidRPr="007604E8" w:rsidRDefault="00EA5C8E" w:rsidP="00EA5C8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77777777" w:rsidR="00EA5C8E" w:rsidRPr="007604E8" w:rsidRDefault="00EA5C8E" w:rsidP="00EA5C8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6556B965" w14:textId="77777777" w:rsidR="00261F6A" w:rsidRPr="00261F6A" w:rsidRDefault="00261F6A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61F6A" w:rsidRPr="00261F6A" w14:paraId="3F6AA603" w14:textId="77777777">
              <w:trPr>
                <w:trHeight w:val="110"/>
              </w:trPr>
              <w:tc>
                <w:tcPr>
                  <w:tcW w:w="216" w:type="dxa"/>
                </w:tcPr>
                <w:p w14:paraId="4B13532C" w14:textId="6060F410" w:rsidR="00261F6A" w:rsidRPr="00261F6A" w:rsidRDefault="00261F6A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261F6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3768ACA8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C8A6F9A" w14:textId="77777777" w:rsidR="00261F6A" w:rsidRPr="00261F6A" w:rsidRDefault="00261F6A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61F6A" w:rsidRPr="00261F6A" w14:paraId="6943D99D" w14:textId="77777777">
              <w:trPr>
                <w:trHeight w:val="110"/>
              </w:trPr>
              <w:tc>
                <w:tcPr>
                  <w:tcW w:w="216" w:type="dxa"/>
                </w:tcPr>
                <w:p w14:paraId="75E83B9C" w14:textId="03F079EF" w:rsidR="00261F6A" w:rsidRPr="00261F6A" w:rsidRDefault="00261F6A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261F6A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45B47DED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04F50D9" w14:textId="77777777" w:rsidR="00EA5C8E" w:rsidRPr="00EA5C8E" w:rsidRDefault="00EA5C8E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A5C8E" w:rsidRPr="00EA5C8E" w14:paraId="7244D5A8" w14:textId="77777777">
              <w:trPr>
                <w:trHeight w:val="110"/>
              </w:trPr>
              <w:tc>
                <w:tcPr>
                  <w:tcW w:w="216" w:type="dxa"/>
                </w:tcPr>
                <w:p w14:paraId="3DDD6A53" w14:textId="1549A09A" w:rsidR="00EA5C8E" w:rsidRPr="00EA5C8E" w:rsidRDefault="00EA5C8E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EA5C8E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384FBF38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0A1F80C" w14:textId="77777777" w:rsidR="00EA5C8E" w:rsidRPr="00EA5C8E" w:rsidRDefault="00EA5C8E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A5C8E" w:rsidRPr="00EA5C8E" w14:paraId="061DC9E9" w14:textId="77777777">
              <w:trPr>
                <w:trHeight w:val="110"/>
              </w:trPr>
              <w:tc>
                <w:tcPr>
                  <w:tcW w:w="216" w:type="dxa"/>
                </w:tcPr>
                <w:p w14:paraId="70B5B641" w14:textId="39136637" w:rsidR="00EA5C8E" w:rsidRPr="00EA5C8E" w:rsidRDefault="00EA5C8E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EA5C8E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6667A42E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EAFE992" w14:textId="77777777" w:rsidR="00EA5C8E" w:rsidRPr="00EA5C8E" w:rsidRDefault="00EA5C8E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A5C8E" w:rsidRPr="00EA5C8E" w14:paraId="0E5CB776" w14:textId="77777777">
              <w:trPr>
                <w:trHeight w:val="110"/>
              </w:trPr>
              <w:tc>
                <w:tcPr>
                  <w:tcW w:w="216" w:type="dxa"/>
                </w:tcPr>
                <w:p w14:paraId="7DA06C03" w14:textId="5149E9A1" w:rsidR="00EA5C8E" w:rsidRPr="00EA5C8E" w:rsidRDefault="00EA5C8E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EA5C8E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27435968" w14:textId="77777777" w:rsidR="00EA5C8E" w:rsidRPr="007604E8" w:rsidRDefault="00EA5C8E" w:rsidP="00261F6A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79D36A0" w14:textId="77777777" w:rsidR="00EA5C8E" w:rsidRPr="00C772A6" w:rsidRDefault="00EA5C8E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A5C8E" w:rsidRPr="00C772A6" w14:paraId="2933E8BA" w14:textId="77777777">
              <w:trPr>
                <w:trHeight w:val="110"/>
              </w:trPr>
              <w:tc>
                <w:tcPr>
                  <w:tcW w:w="216" w:type="dxa"/>
                </w:tcPr>
                <w:p w14:paraId="15459363" w14:textId="331B03E0" w:rsidR="00EA5C8E" w:rsidRPr="00C772A6" w:rsidRDefault="00EA5C8E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C772A6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5DC9A1A1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D2415C3" w14:textId="77777777" w:rsidR="00EA5C8E" w:rsidRPr="00C772A6" w:rsidRDefault="00EA5C8E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A5C8E" w:rsidRPr="00C772A6" w14:paraId="1B0A4831" w14:textId="77777777">
              <w:trPr>
                <w:trHeight w:val="110"/>
              </w:trPr>
              <w:tc>
                <w:tcPr>
                  <w:tcW w:w="216" w:type="dxa"/>
                </w:tcPr>
                <w:p w14:paraId="7C63C85B" w14:textId="296935E2" w:rsidR="00EA5C8E" w:rsidRPr="00C772A6" w:rsidRDefault="00EA5C8E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C772A6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1B4A75D5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6264BCF" w14:textId="77777777" w:rsidR="00EA5C8E" w:rsidRPr="00C772A6" w:rsidRDefault="00EA5C8E" w:rsidP="00261F6A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A5C8E" w:rsidRPr="00C772A6" w14:paraId="6C4E8E61" w14:textId="77777777">
              <w:trPr>
                <w:trHeight w:val="110"/>
              </w:trPr>
              <w:tc>
                <w:tcPr>
                  <w:tcW w:w="216" w:type="dxa"/>
                </w:tcPr>
                <w:p w14:paraId="66372335" w14:textId="237C9955" w:rsidR="00EA5C8E" w:rsidRPr="00C772A6" w:rsidRDefault="00EA5C8E" w:rsidP="00261F6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C772A6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>√</w:t>
                  </w:r>
                </w:p>
              </w:tc>
            </w:tr>
          </w:tbl>
          <w:p w14:paraId="129725C7" w14:textId="77777777" w:rsidR="00EA5C8E" w:rsidRPr="007604E8" w:rsidRDefault="00EA5C8E" w:rsidP="00261F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</w:tr>
      <w:tr w:rsidR="00C2558D" w:rsidRPr="007604E8" w14:paraId="1FEB0440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6A88F9B" w14:textId="2E11F0B8" w:rsidR="00C2558D" w:rsidRPr="007604E8" w:rsidRDefault="00C2558D" w:rsidP="00C2558D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99F277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BF7B22B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87B0E09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3D6571F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D910A9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260F969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C2558D" w:rsidRPr="007604E8" w:rsidRDefault="00C2558D" w:rsidP="004F6749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DB48DE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872153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0163B3A" w14:textId="77777777" w:rsidR="00C2558D" w:rsidRPr="007604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</w:tr>
    </w:tbl>
    <w:p w14:paraId="29225734" w14:textId="77777777" w:rsidR="002352D4" w:rsidRPr="007604E8" w:rsidRDefault="002352D4" w:rsidP="002352D4">
      <w:pPr>
        <w:bidi w:val="0"/>
        <w:rPr>
          <w:rFonts w:ascii="Times New Roman" w:hAnsi="Times New Roman" w:cs="Times New Roman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2052"/>
        <w:gridCol w:w="2103"/>
        <w:gridCol w:w="926"/>
        <w:gridCol w:w="1658"/>
        <w:gridCol w:w="2144"/>
      </w:tblGrid>
      <w:tr w:rsidR="00A54452" w:rsidRPr="007604E8" w14:paraId="0E409C7E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7604E8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Course assessment:</w:t>
            </w:r>
          </w:p>
        </w:tc>
      </w:tr>
      <w:tr w:rsidR="00A54452" w:rsidRPr="007604E8" w14:paraId="75338CC8" w14:textId="77777777" w:rsidTr="0086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7604E8" w:rsidRDefault="00A54452" w:rsidP="002352D4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7604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604E8">
              <w:rPr>
                <w:rFonts w:ascii="Times New Roman" w:hAnsi="Times New Roman" w:cs="Times New Roman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7604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604E8">
              <w:rPr>
                <w:rFonts w:ascii="Times New Roman" w:hAnsi="Times New Roman" w:cs="Times New Roman"/>
                <w:i/>
              </w:rPr>
              <w:t>Number</w:t>
            </w:r>
          </w:p>
        </w:tc>
        <w:tc>
          <w:tcPr>
            <w:tcW w:w="933" w:type="pct"/>
            <w:shd w:val="clear" w:color="auto" w:fill="auto"/>
          </w:tcPr>
          <w:p w14:paraId="0FEDCFB7" w14:textId="77777777" w:rsidR="00A54452" w:rsidRPr="007604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604E8">
              <w:rPr>
                <w:rFonts w:ascii="Times New Roman" w:hAnsi="Times New Roman" w:cs="Times New Roman"/>
                <w:i/>
              </w:rPr>
              <w:t>Weight</w:t>
            </w:r>
          </w:p>
        </w:tc>
        <w:tc>
          <w:tcPr>
            <w:tcW w:w="1207" w:type="pct"/>
            <w:shd w:val="clear" w:color="auto" w:fill="auto"/>
          </w:tcPr>
          <w:p w14:paraId="314668E9" w14:textId="77777777" w:rsidR="00A54452" w:rsidRPr="007604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604E8">
              <w:rPr>
                <w:rFonts w:ascii="Times New Roman" w:hAnsi="Times New Roman" w:cs="Times New Roman"/>
                <w:i/>
              </w:rPr>
              <w:t>Date(s)</w:t>
            </w:r>
          </w:p>
        </w:tc>
      </w:tr>
      <w:tr w:rsidR="00A54452" w:rsidRPr="007604E8" w14:paraId="46012FB6" w14:textId="77777777" w:rsidTr="008655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ACC233" w14:textId="6E9E31C5" w:rsidR="00A54452" w:rsidRPr="007604E8" w:rsidRDefault="00C2558D" w:rsidP="00C2558D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lastRenderedPageBreak/>
              <w:t>Continuous Assessment (2-hour)</w:t>
            </w:r>
          </w:p>
        </w:tc>
        <w:tc>
          <w:tcPr>
            <w:tcW w:w="1184" w:type="pct"/>
            <w:shd w:val="clear" w:color="auto" w:fill="auto"/>
          </w:tcPr>
          <w:p w14:paraId="5FA30DF2" w14:textId="77777777" w:rsidR="00A54452" w:rsidRPr="007604E8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0D5ADA94" w14:textId="77777777" w:rsidR="00A54452" w:rsidRPr="007604E8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71801530" w14:textId="325D8C10" w:rsidR="00A54452" w:rsidRPr="007604E8" w:rsidRDefault="00C2558D" w:rsidP="007604E8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7604E8">
              <w:rPr>
                <w:rFonts w:ascii="Times New Roman" w:hAnsi="Times New Roman" w:cs="Times New Roman"/>
                <w:iCs/>
              </w:rPr>
              <w:t>15</w:t>
            </w:r>
            <w:r w:rsidR="00A54452" w:rsidRPr="007604E8">
              <w:rPr>
                <w:rFonts w:ascii="Times New Roman" w:hAnsi="Times New Roman" w:cs="Times New Roman"/>
                <w:iCs/>
              </w:rPr>
              <w:t xml:space="preserve"> %</w:t>
            </w:r>
          </w:p>
        </w:tc>
        <w:tc>
          <w:tcPr>
            <w:tcW w:w="1207" w:type="pct"/>
            <w:shd w:val="clear" w:color="auto" w:fill="auto"/>
          </w:tcPr>
          <w:p w14:paraId="59B9BFD5" w14:textId="26763A44" w:rsidR="00A54452" w:rsidRPr="007604E8" w:rsidRDefault="008655C9" w:rsidP="008655C9">
            <w:pPr>
              <w:pStyle w:val="ListParagraph"/>
              <w:bidi w:val="0"/>
              <w:ind w:lef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To be announced </w:t>
            </w:r>
          </w:p>
        </w:tc>
      </w:tr>
      <w:tr w:rsidR="00A54452" w:rsidRPr="007604E8" w14:paraId="0BD0852A" w14:textId="77777777" w:rsidTr="0086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6903115" w14:textId="5A46D52C" w:rsidR="00A54452" w:rsidRPr="007604E8" w:rsidRDefault="00C2558D" w:rsidP="002352D4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184" w:type="pct"/>
            <w:shd w:val="clear" w:color="auto" w:fill="auto"/>
          </w:tcPr>
          <w:p w14:paraId="54B7D5E8" w14:textId="77777777" w:rsidR="00A54452" w:rsidRPr="007604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2B9618F9" w14:textId="77777777" w:rsidR="00A54452" w:rsidRPr="007604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3848CD51" w14:textId="41D8D2DA" w:rsidR="00A54452" w:rsidRPr="007604E8" w:rsidRDefault="00C2558D" w:rsidP="007604E8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7604E8">
              <w:rPr>
                <w:rFonts w:ascii="Times New Roman" w:hAnsi="Times New Roman" w:cs="Times New Roman"/>
                <w:iCs/>
              </w:rPr>
              <w:t>15</w:t>
            </w:r>
            <w:r w:rsidR="00A54452" w:rsidRPr="007604E8">
              <w:rPr>
                <w:rFonts w:ascii="Times New Roman" w:hAnsi="Times New Roman" w:cs="Times New Roman"/>
                <w:iCs/>
              </w:rPr>
              <w:t xml:space="preserve"> %</w:t>
            </w:r>
          </w:p>
        </w:tc>
        <w:tc>
          <w:tcPr>
            <w:tcW w:w="1207" w:type="pct"/>
            <w:shd w:val="clear" w:color="auto" w:fill="auto"/>
          </w:tcPr>
          <w:p w14:paraId="5BF9737E" w14:textId="1886E8B2" w:rsidR="00A54452" w:rsidRPr="007604E8" w:rsidRDefault="008655C9" w:rsidP="008655C9">
            <w:pPr>
              <w:pStyle w:val="ListParagraph"/>
              <w:bidi w:val="0"/>
              <w:ind w:lef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To be announced</w:t>
            </w:r>
          </w:p>
        </w:tc>
      </w:tr>
      <w:tr w:rsidR="00A54452" w:rsidRPr="007604E8" w14:paraId="35B15159" w14:textId="77777777" w:rsidTr="008655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9183BDE" w14:textId="17A88775" w:rsidR="00A54452" w:rsidRPr="007604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t>Case Studies</w:t>
            </w:r>
          </w:p>
        </w:tc>
        <w:tc>
          <w:tcPr>
            <w:tcW w:w="1184" w:type="pct"/>
            <w:shd w:val="clear" w:color="auto" w:fill="auto"/>
          </w:tcPr>
          <w:p w14:paraId="41BD8924" w14:textId="77777777" w:rsidR="00A54452" w:rsidRPr="007604E8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1F430D96" w14:textId="376154EB" w:rsidR="00A54452" w:rsidRPr="007604E8" w:rsidRDefault="008655C9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33" w:type="pct"/>
            <w:shd w:val="clear" w:color="auto" w:fill="auto"/>
          </w:tcPr>
          <w:p w14:paraId="6A6CEF5C" w14:textId="285C43EF" w:rsidR="00A54452" w:rsidRPr="007604E8" w:rsidRDefault="002F4EE9" w:rsidP="007604E8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30 </w:t>
            </w:r>
            <w:r w:rsidR="00A54452" w:rsidRPr="007604E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70277B47" w14:textId="0A99B016" w:rsidR="00A54452" w:rsidRPr="007604E8" w:rsidRDefault="008655C9" w:rsidP="008655C9">
            <w:pPr>
              <w:pStyle w:val="ListParagraph"/>
              <w:bidi w:val="0"/>
              <w:ind w:lef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To be announced</w:t>
            </w:r>
          </w:p>
        </w:tc>
      </w:tr>
      <w:tr w:rsidR="00A54452" w:rsidRPr="007604E8" w14:paraId="04B1D267" w14:textId="77777777" w:rsidTr="0086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77777777" w:rsidR="00A54452" w:rsidRPr="007604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="Times New Roman" w:hAnsi="Times New Roman" w:cs="Times New Roman"/>
                <w:iCs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t>Final</w:t>
            </w:r>
            <w:r w:rsidR="00A060D3"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Examination</w:t>
            </w:r>
          </w:p>
          <w:p w14:paraId="6E8A953A" w14:textId="1E0A869D" w:rsidR="00C2558D" w:rsidRPr="007604E8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t>(</w:t>
            </w:r>
            <w:r w:rsidR="008655C9"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t>Responds</w:t>
            </w:r>
            <w:r w:rsidRPr="007604E8">
              <w:rPr>
                <w:rFonts w:ascii="Times New Roman" w:hAnsi="Times New Roman" w:cs="Times New Roman"/>
                <w:b w:val="0"/>
                <w:bCs w:val="0"/>
                <w:iCs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558BC05D" w14:textId="77777777" w:rsidR="00A54452" w:rsidRPr="007604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6D5F9802" w14:textId="05C793E4" w:rsidR="00A54452" w:rsidRPr="007604E8" w:rsidRDefault="00B02959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7604E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075777F8" w14:textId="349A6749" w:rsidR="00A54452" w:rsidRPr="007604E8" w:rsidRDefault="00C2558D" w:rsidP="007604E8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7604E8">
              <w:rPr>
                <w:rFonts w:ascii="Times New Roman" w:hAnsi="Times New Roman" w:cs="Times New Roman"/>
                <w:iCs/>
              </w:rPr>
              <w:t>40</w:t>
            </w:r>
            <w:r w:rsidR="00A54452" w:rsidRPr="007604E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41A226A8" w14:textId="77777777" w:rsidR="00A54452" w:rsidRPr="007604E8" w:rsidRDefault="00A54452" w:rsidP="008655C9">
            <w:pPr>
              <w:pStyle w:val="ListParagraph"/>
              <w:bidi w:val="0"/>
              <w:ind w:lef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</w:tr>
      <w:tr w:rsidR="00A54452" w:rsidRPr="007604E8" w14:paraId="0C543CEE" w14:textId="77777777" w:rsidTr="008655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A54452" w:rsidRPr="007604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="Times New Roman" w:hAnsi="Times New Roman" w:cs="Times New Roman"/>
                <w:iCs/>
              </w:rPr>
            </w:pPr>
            <w:r w:rsidRPr="007604E8">
              <w:rPr>
                <w:rFonts w:ascii="Times New Roman" w:hAnsi="Times New Roman" w:cs="Times New Roman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A54452" w:rsidRPr="007604E8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A54452" w:rsidRPr="007604E8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1ACD0E95" w14:textId="77777777" w:rsidR="00A54452" w:rsidRPr="007604E8" w:rsidRDefault="00A54452" w:rsidP="007604E8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7604E8">
              <w:rPr>
                <w:rFonts w:ascii="Times New Roman" w:hAnsi="Times New Roman" w:cs="Times New Roman"/>
                <w:iCs/>
              </w:rPr>
              <w:t>100%</w:t>
            </w:r>
          </w:p>
        </w:tc>
        <w:tc>
          <w:tcPr>
            <w:tcW w:w="1207" w:type="pct"/>
            <w:shd w:val="clear" w:color="auto" w:fill="auto"/>
          </w:tcPr>
          <w:p w14:paraId="47B52B8B" w14:textId="77777777" w:rsidR="00A54452" w:rsidRPr="007604E8" w:rsidRDefault="00A54452" w:rsidP="007604E8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6B22A3D" w14:textId="77777777" w:rsidR="00C42606" w:rsidRPr="007604E8" w:rsidRDefault="00C42606" w:rsidP="002352D4">
      <w:pPr>
        <w:bidi w:val="0"/>
        <w:rPr>
          <w:rFonts w:ascii="Times New Roman" w:hAnsi="Times New Roman" w:cs="Times New Roman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7604E8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7604E8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Description of Topics Covered</w:t>
            </w:r>
          </w:p>
        </w:tc>
      </w:tr>
      <w:tr w:rsidR="002352D4" w:rsidRPr="007604E8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7604E8" w:rsidRDefault="002352D4" w:rsidP="002352D4">
            <w:pPr>
              <w:bidi w:val="0"/>
              <w:jc w:val="center"/>
              <w:rPr>
                <w:rFonts w:ascii="Times New Roman" w:hAnsi="Times New Roman" w:cs="Times New Roman"/>
                <w:i/>
              </w:rPr>
            </w:pPr>
            <w:r w:rsidRPr="007604E8">
              <w:rPr>
                <w:rFonts w:ascii="Times New Roman" w:hAnsi="Times New Roman" w:cs="Times New Roman"/>
                <w:i/>
              </w:rPr>
              <w:t xml:space="preserve">Topic Title </w:t>
            </w:r>
          </w:p>
          <w:p w14:paraId="272B791D" w14:textId="77777777" w:rsidR="002352D4" w:rsidRPr="007604E8" w:rsidRDefault="002352D4" w:rsidP="002352D4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7604E8">
              <w:rPr>
                <w:rFonts w:ascii="Times New Roman" w:hAnsi="Times New Roman" w:cs="Times New Roman"/>
                <w:i/>
              </w:rPr>
              <w:t>(e.g.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7604E8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Description</w:t>
            </w:r>
          </w:p>
        </w:tc>
      </w:tr>
      <w:tr w:rsidR="0046249F" w:rsidRPr="007604E8" w14:paraId="4CC280C4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BFA8CE9" w14:textId="716883A2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sz w:val="22"/>
                <w:szCs w:val="22"/>
              </w:rPr>
              <w:t>Chapter 10</w:t>
            </w:r>
          </w:p>
          <w:p w14:paraId="45BD61C9" w14:textId="518EC208" w:rsidR="0046249F" w:rsidRPr="000E412F" w:rsidRDefault="0046249F" w:rsidP="000E412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</w:rPr>
              <w:t>Internal Control and COSO Framework</w:t>
            </w:r>
          </w:p>
        </w:tc>
        <w:tc>
          <w:tcPr>
            <w:tcW w:w="3522" w:type="pct"/>
            <w:shd w:val="clear" w:color="auto" w:fill="FFFFFF" w:themeFill="background1"/>
          </w:tcPr>
          <w:p w14:paraId="0D5D3B8E" w14:textId="2729EC48" w:rsidR="0046249F" w:rsidRPr="007604E8" w:rsidRDefault="0046249F" w:rsidP="007604E8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</w:rPr>
              <w:t xml:space="preserve">This chapter provides an understanding of the client’s internal control, evaluation of internal control, assessing control risk, and deciding the level of planned detection risk. </w:t>
            </w:r>
          </w:p>
        </w:tc>
      </w:tr>
      <w:tr w:rsidR="0046249F" w:rsidRPr="007604E8" w14:paraId="4B58BB5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0E5A50F0" w14:textId="6CB68133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sz w:val="22"/>
                <w:szCs w:val="22"/>
              </w:rPr>
              <w:t>Chapter 11</w:t>
            </w:r>
          </w:p>
          <w:p w14:paraId="39DFC54E" w14:textId="308768A1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Assessing Control Risk and Reporting</w:t>
            </w:r>
          </w:p>
          <w:p w14:paraId="5CD2B24C" w14:textId="55C5BFEE" w:rsidR="0046249F" w:rsidRPr="000E412F" w:rsidRDefault="0046249F" w:rsidP="000E412F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</w:rPr>
              <w:t>on Internal Controls</w:t>
            </w:r>
          </w:p>
        </w:tc>
        <w:tc>
          <w:tcPr>
            <w:tcW w:w="3522" w:type="pct"/>
            <w:shd w:val="clear" w:color="auto" w:fill="FFFFFF" w:themeFill="background1"/>
          </w:tcPr>
          <w:p w14:paraId="1A0EF84F" w14:textId="35325AD3" w:rsidR="0046249F" w:rsidRPr="007604E8" w:rsidRDefault="0046249F" w:rsidP="007604E8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</w:rPr>
              <w:t xml:space="preserve">This chapter discusses how auditors can obtain an understanding of internal control and assess control risks over financial reporting of financial statements. </w:t>
            </w:r>
          </w:p>
        </w:tc>
      </w:tr>
      <w:tr w:rsidR="0046249F" w:rsidRPr="007604E8" w14:paraId="28DBD29C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67D32DB6" w14:textId="1E60E654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sz w:val="22"/>
                <w:szCs w:val="22"/>
              </w:rPr>
              <w:t>Chapter 12</w:t>
            </w:r>
          </w:p>
          <w:p w14:paraId="26183E91" w14:textId="0670E854" w:rsidR="0046249F" w:rsidRPr="000E412F" w:rsidRDefault="0046249F" w:rsidP="000E412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</w:rPr>
              <w:t>Overall Audit Strategy and Audit Program</w:t>
            </w:r>
          </w:p>
        </w:tc>
        <w:tc>
          <w:tcPr>
            <w:tcW w:w="3522" w:type="pct"/>
            <w:shd w:val="clear" w:color="auto" w:fill="FFFFFF" w:themeFill="background1"/>
          </w:tcPr>
          <w:p w14:paraId="0B251679" w14:textId="70D5B919" w:rsidR="0046249F" w:rsidRPr="007604E8" w:rsidRDefault="0046249F" w:rsidP="007604E8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</w:rPr>
              <w:t xml:space="preserve">This chapter covers five audit tests are explained and their relationships with evidence are identified. Learning how to design an audit program. </w:t>
            </w:r>
          </w:p>
        </w:tc>
      </w:tr>
      <w:tr w:rsidR="0046249F" w:rsidRPr="007604E8" w14:paraId="33DCA28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22AF8C7" w14:textId="348DA0C1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sz w:val="22"/>
                <w:szCs w:val="22"/>
              </w:rPr>
              <w:t>Chapter 13</w:t>
            </w:r>
          </w:p>
          <w:p w14:paraId="142B7C6C" w14:textId="385CD578" w:rsidR="0046249F" w:rsidRPr="000E412F" w:rsidRDefault="0046249F" w:rsidP="000E412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</w:rPr>
              <w:t>Audit of the Sales and Collection Cycle: Tests of Controls and Substantive Tests of Transactions</w:t>
            </w:r>
          </w:p>
        </w:tc>
        <w:tc>
          <w:tcPr>
            <w:tcW w:w="3522" w:type="pct"/>
            <w:shd w:val="clear" w:color="auto" w:fill="FFFFFF" w:themeFill="background1"/>
          </w:tcPr>
          <w:p w14:paraId="6350F53A" w14:textId="17E2F081" w:rsidR="0046249F" w:rsidRPr="007604E8" w:rsidRDefault="0046249F" w:rsidP="007604E8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</w:rPr>
              <w:t xml:space="preserve">This chapter provides details on test of controls and substantive test of transactions for sales and collection cycle, in addition, the methodologies for both tests. </w:t>
            </w:r>
          </w:p>
        </w:tc>
      </w:tr>
      <w:tr w:rsidR="0046249F" w:rsidRPr="007604E8" w14:paraId="47DB9C63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8313F14" w14:textId="5C762FC3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sz w:val="22"/>
                <w:szCs w:val="22"/>
              </w:rPr>
              <w:t>Chapter 15</w:t>
            </w:r>
          </w:p>
          <w:p w14:paraId="32545443" w14:textId="3D133D82" w:rsidR="0046249F" w:rsidRPr="000E412F" w:rsidRDefault="0046249F" w:rsidP="000E412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</w:rPr>
              <w:t>Completing the Tests in the Sales and Collection Cycle: Accounts Receivable</w:t>
            </w:r>
          </w:p>
        </w:tc>
        <w:tc>
          <w:tcPr>
            <w:tcW w:w="3522" w:type="pct"/>
            <w:shd w:val="clear" w:color="auto" w:fill="FFFFFF" w:themeFill="background1"/>
          </w:tcPr>
          <w:p w14:paraId="683156CB" w14:textId="0BBC3E58" w:rsidR="0046249F" w:rsidRPr="007604E8" w:rsidRDefault="0046249F" w:rsidP="007604E8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</w:rPr>
              <w:t xml:space="preserve">This chapter presents the test of details of balances for accounts receivables, in addition, the methodology for designing test of details of balances, and how to confirm receivables. </w:t>
            </w:r>
          </w:p>
        </w:tc>
      </w:tr>
      <w:tr w:rsidR="0046249F" w:rsidRPr="007604E8" w14:paraId="02E9F824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FB07F8C" w14:textId="262B6CC2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sz w:val="22"/>
                <w:szCs w:val="22"/>
              </w:rPr>
              <w:t>Chapter 20</w:t>
            </w:r>
          </w:p>
          <w:p w14:paraId="3188B4B5" w14:textId="6AF821B8" w:rsidR="0046249F" w:rsidRPr="000E412F" w:rsidRDefault="0046249F" w:rsidP="000E412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</w:rPr>
              <w:t>Audit of the Inventory and Warehousing Cycle</w:t>
            </w:r>
          </w:p>
        </w:tc>
        <w:tc>
          <w:tcPr>
            <w:tcW w:w="3522" w:type="pct"/>
            <w:shd w:val="clear" w:color="auto" w:fill="FFFFFF" w:themeFill="background1"/>
          </w:tcPr>
          <w:p w14:paraId="648950B4" w14:textId="1E628721" w:rsidR="0046249F" w:rsidRPr="007604E8" w:rsidRDefault="0046249F" w:rsidP="007604E8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</w:rPr>
              <w:t xml:space="preserve">This chapter covers inventory and warehousing cycle, the business functions in the cycle, audit of cost accounting for inventory, audit of pricing and compilation of inventory &amp; analytical procedures and physical observation of inventory. </w:t>
            </w:r>
          </w:p>
        </w:tc>
      </w:tr>
      <w:tr w:rsidR="0046249F" w:rsidRPr="007604E8" w14:paraId="44114354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4E6C6A5" w14:textId="4C32887A" w:rsidR="0046249F" w:rsidRPr="000E412F" w:rsidRDefault="0046249F" w:rsidP="000E41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12F">
              <w:rPr>
                <w:rFonts w:ascii="Times New Roman" w:hAnsi="Times New Roman" w:cs="Times New Roman"/>
                <w:sz w:val="22"/>
                <w:szCs w:val="22"/>
              </w:rPr>
              <w:t>Chapter 24</w:t>
            </w:r>
          </w:p>
          <w:p w14:paraId="64E11C06" w14:textId="49AA9B3E" w:rsidR="0046249F" w:rsidRPr="000E412F" w:rsidRDefault="0046249F" w:rsidP="000E412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0E412F">
              <w:rPr>
                <w:rFonts w:ascii="Times New Roman" w:hAnsi="Times New Roman" w:cs="Times New Roman"/>
                <w:b w:val="0"/>
                <w:bCs w:val="0"/>
              </w:rPr>
              <w:t>Audit Reports</w:t>
            </w:r>
          </w:p>
        </w:tc>
        <w:tc>
          <w:tcPr>
            <w:tcW w:w="3522" w:type="pct"/>
            <w:shd w:val="clear" w:color="auto" w:fill="FFFFFF" w:themeFill="background1"/>
          </w:tcPr>
          <w:p w14:paraId="2A2DBC7D" w14:textId="44636083" w:rsidR="008F7923" w:rsidRPr="007604E8" w:rsidRDefault="0046249F" w:rsidP="007604E8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</w:rPr>
              <w:t xml:space="preserve">This chapter covers auditors’ reports, distinction between the auditor’s and management’s responsibility, which financial statements and other </w:t>
            </w:r>
            <w:r w:rsidR="008F7923" w:rsidRPr="007604E8">
              <w:rPr>
                <w:rFonts w:ascii="Times New Roman" w:hAnsi="Times New Roman" w:cs="Times New Roman"/>
              </w:rPr>
              <w:t xml:space="preserve">information are covered by the auditor’s report, in addition, auditor’s responsibility for “other information” in the annual report. </w:t>
            </w:r>
          </w:p>
          <w:p w14:paraId="2AFCECB2" w14:textId="28706039" w:rsidR="0046249F" w:rsidRPr="007604E8" w:rsidRDefault="0046249F" w:rsidP="007604E8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1498576" w14:textId="29782CEE" w:rsidR="004C48D7" w:rsidRDefault="004C48D7" w:rsidP="004C48D7">
      <w:pPr>
        <w:bidi w:val="0"/>
        <w:rPr>
          <w:rFonts w:ascii="Times New Roman" w:hAnsi="Times New Roman" w:cs="Times New Roman"/>
        </w:rPr>
      </w:pPr>
    </w:p>
    <w:p w14:paraId="0260646E" w14:textId="46F98BC1" w:rsidR="004E2E3E" w:rsidRDefault="004E2E3E" w:rsidP="004E2E3E">
      <w:pPr>
        <w:bidi w:val="0"/>
        <w:rPr>
          <w:rFonts w:ascii="Times New Roman" w:hAnsi="Times New Roman" w:cs="Times New Roman"/>
        </w:rPr>
      </w:pPr>
    </w:p>
    <w:p w14:paraId="6E734301" w14:textId="56DE70AD" w:rsidR="004E2E3E" w:rsidRDefault="004E2E3E" w:rsidP="004E2E3E">
      <w:pPr>
        <w:bidi w:val="0"/>
        <w:rPr>
          <w:rFonts w:ascii="Times New Roman" w:hAnsi="Times New Roman" w:cs="Times New Roman"/>
        </w:rPr>
      </w:pPr>
    </w:p>
    <w:p w14:paraId="2E958BAB" w14:textId="3A1BEB66" w:rsidR="004E2E3E" w:rsidRDefault="004E2E3E" w:rsidP="004E2E3E">
      <w:pPr>
        <w:bidi w:val="0"/>
        <w:rPr>
          <w:rFonts w:ascii="Times New Roman" w:hAnsi="Times New Roman" w:cs="Times New Roman"/>
        </w:rPr>
      </w:pPr>
    </w:p>
    <w:p w14:paraId="5C227E72" w14:textId="77777777" w:rsidR="004E2E3E" w:rsidRPr="007604E8" w:rsidRDefault="004E2E3E" w:rsidP="004E2E3E">
      <w:pPr>
        <w:bidi w:val="0"/>
        <w:rPr>
          <w:rFonts w:ascii="Times New Roman" w:hAnsi="Times New Roman" w:cs="Times New Roman"/>
        </w:rPr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809"/>
        <w:gridCol w:w="1080"/>
        <w:gridCol w:w="2834"/>
        <w:gridCol w:w="993"/>
        <w:gridCol w:w="1846"/>
        <w:gridCol w:w="1349"/>
      </w:tblGrid>
      <w:tr w:rsidR="00C42606" w:rsidRPr="007604E8" w14:paraId="7C328D4B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7604E8" w:rsidRDefault="00C42606" w:rsidP="00A060D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Times New Roman" w:hAnsi="Times New Roman" w:cs="Times New Roman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lastRenderedPageBreak/>
              <w:t xml:space="preserve">Weekly </w:t>
            </w:r>
            <w:r w:rsidR="00A060D3" w:rsidRPr="007604E8">
              <w:rPr>
                <w:rFonts w:ascii="Times New Roman" w:hAnsi="Times New Roman" w:cs="Times New Roman"/>
                <w:lang w:bidi="ar-BH"/>
              </w:rPr>
              <w:t>Schedule</w:t>
            </w:r>
          </w:p>
        </w:tc>
      </w:tr>
      <w:tr w:rsidR="00C42606" w:rsidRPr="007604E8" w14:paraId="1C6858BE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7604E8" w:rsidRDefault="00257E47" w:rsidP="002352D4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7604E8" w:rsidRDefault="00257E47" w:rsidP="002352D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Date</w:t>
            </w:r>
          </w:p>
        </w:tc>
        <w:tc>
          <w:tcPr>
            <w:tcW w:w="159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7604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7604E8" w:rsidRDefault="00082FF5" w:rsidP="002352D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C</w:t>
            </w:r>
            <w:r w:rsidR="00257E47" w:rsidRPr="007604E8">
              <w:rPr>
                <w:rFonts w:ascii="Times New Roman" w:hAnsi="Times New Roman" w:cs="Times New Roman"/>
                <w:i/>
                <w:iCs/>
                <w:lang w:bidi="ar-BH"/>
              </w:rPr>
              <w:t>ILOs</w:t>
            </w:r>
          </w:p>
        </w:tc>
        <w:tc>
          <w:tcPr>
            <w:tcW w:w="103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7604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7604E8" w:rsidRDefault="00257E47" w:rsidP="002352D4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4E2E3E" w:rsidRPr="007604E8" w14:paraId="0B2927E3" w14:textId="77777777" w:rsidTr="00CD4A1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1896DCE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  <w:p w14:paraId="159BC780" w14:textId="0046429E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>Feb.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7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– </w:t>
            </w: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March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11</w:t>
            </w:r>
          </w:p>
        </w:tc>
        <w:tc>
          <w:tcPr>
            <w:tcW w:w="1590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0A308BDD" w14:textId="09929553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10</w:t>
            </w:r>
          </w:p>
          <w:p w14:paraId="14413EA9" w14:textId="577752CA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Studying Internal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2F552AB9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</w:t>
            </w: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74A50D5B" w14:textId="36AA5C0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40F4920A" w14:textId="77777777" w:rsidTr="00CD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EAD8B90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2CFD255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79C4B123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9CC76A5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03F043C7" w14:textId="541A155C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3364E6BC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2997F884" w14:textId="77777777" w:rsidTr="00CD4A1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4EBDE72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332142AF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27C190FC" w14:textId="1E08119D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Feb.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14 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– </w:t>
            </w: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Feb.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18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542F3366" w14:textId="17AFEDB8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10</w:t>
            </w:r>
          </w:p>
          <w:p w14:paraId="47E3D7A8" w14:textId="533F799E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Studying Internal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AD52625" w14:textId="7154B87F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69E14C9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2E251250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5F3C5BBB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5AA1823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988DE3F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2C2BBC0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3A99CAC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CEC7036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99033B7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1599BFE1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662E2BF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5D0BADA6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625A2CA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0F8B80FB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2CE2FA1F" w14:textId="75DFDA06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>Feb.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21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– </w:t>
            </w: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Feb.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25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68DDAE2E" w14:textId="77777777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Chapter 11 </w:t>
            </w:r>
          </w:p>
          <w:p w14:paraId="1B6FF740" w14:textId="77777777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sz w:val="22"/>
                <w:szCs w:val="22"/>
              </w:rPr>
              <w:t xml:space="preserve">Assessing Control Risk and Reporting </w:t>
            </w:r>
          </w:p>
          <w:p w14:paraId="1AA24FD4" w14:textId="0A1A2108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 xml:space="preserve">on Internal Controls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5FDD4650" w14:textId="5A36D04E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C1CE55F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46DF6426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311CDAA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57DE26E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60899AE2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07C60B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74543BA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7440518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B984AF2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07845159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7A317EE6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27E36FFE" w14:textId="77777777" w:rsidTr="006D70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411B0AB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314DAF8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55B36829" w14:textId="0221601F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>Feb.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28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– </w:t>
            </w: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March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4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77760577" w14:textId="67A7EC5B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12</w:t>
            </w:r>
          </w:p>
          <w:p w14:paraId="5EAFD724" w14:textId="3023543F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Overall Audit Strategy and Audit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1ADD6FA6" w14:textId="329CBDF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1&amp; 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C801328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3C10F88A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21B99AD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6EDB2270" w14:textId="77777777" w:rsidTr="006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F2D61F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60D13F7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1EC3C71F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7BAA250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6BDF4A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2DF1BDCA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0AC959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3CA39177" w14:textId="77777777" w:rsidTr="00B272E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B4C3DB6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3EAF8B6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18544E36" w14:textId="77777777" w:rsidR="004E2E3E" w:rsidRPr="005E4DEE" w:rsidRDefault="004E2E3E" w:rsidP="004E2E3E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lang w:bidi="ar-BH"/>
              </w:rPr>
            </w:pPr>
            <w:r w:rsidRPr="00F27AFC">
              <w:rPr>
                <w:rFonts w:ascii="Times New Roman" w:eastAsia="Calibri" w:hAnsi="Times New Roman" w:cs="Times New Roman"/>
                <w:color w:val="000000"/>
                <w:lang w:bidi="ar-BH"/>
              </w:rPr>
              <w:t>March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7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proofErr w:type="gramStart"/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–  </w:t>
            </w: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>March</w:t>
            </w:r>
            <w:proofErr w:type="gramEnd"/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1</w:t>
            </w:r>
          </w:p>
          <w:p w14:paraId="16E8522D" w14:textId="55713AD6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30E80678" w14:textId="5663D206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12</w:t>
            </w:r>
          </w:p>
          <w:p w14:paraId="69A540C4" w14:textId="4E7D018D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Overall Audit Strategy and Audit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</w:tcPr>
          <w:p w14:paraId="03B296CB" w14:textId="1BDC2F02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1&amp; 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D61FA2B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754F9953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9B9EC1C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6554EE54" w14:textId="77777777" w:rsidTr="00B2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127D8EF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40BA0045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AA940CA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</w:tcPr>
          <w:p w14:paraId="0A276A8A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2C706C1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252EEBDA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41ADB1F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660A825F" w14:textId="77777777" w:rsidTr="00B272E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6A104AE9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5C036C4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0A01C7C3" w14:textId="77777777" w:rsidR="004E2E3E" w:rsidRPr="005E4DEE" w:rsidRDefault="004E2E3E" w:rsidP="004E2E3E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lang w:bidi="ar-BH"/>
              </w:rPr>
            </w:pPr>
            <w:r w:rsidRPr="00F27AFC">
              <w:rPr>
                <w:rFonts w:ascii="Times New Roman" w:eastAsia="Calibri" w:hAnsi="Times New Roman" w:cs="Times New Roman"/>
                <w:color w:val="000000"/>
                <w:lang w:bidi="ar-BH"/>
              </w:rPr>
              <w:t>March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14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proofErr w:type="gramStart"/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–  </w:t>
            </w: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>March</w:t>
            </w:r>
            <w:proofErr w:type="gramEnd"/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 </w:t>
            </w:r>
            <w:r w:rsidRPr="005E4DEE">
              <w:rPr>
                <w:rFonts w:ascii="Times New Roman" w:eastAsia="Calibri" w:hAnsi="Times New Roman" w:cs="Times New Roman"/>
                <w:color w:val="000000"/>
                <w:lang w:bidi="ar-BH"/>
              </w:rPr>
              <w:t>18</w:t>
            </w:r>
          </w:p>
          <w:p w14:paraId="0E16ADD4" w14:textId="75493D43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20DDDA6B" w14:textId="1DD90CDE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13</w:t>
            </w:r>
          </w:p>
          <w:p w14:paraId="1717680C" w14:textId="2ACF4FA1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of the Sales and Collection Cycle: Tests of Controls and Substantive Tests of Transactions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</w:tcPr>
          <w:p w14:paraId="77FF5984" w14:textId="69041B98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1&amp; 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5B10B9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1A1A0FE5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4E0903E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180F32CF" w14:textId="77777777" w:rsidTr="009C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BF05689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E3470DB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5CDA460B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BDEE96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89D77BA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5D76BB1F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F56ACE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50D41CD5" w14:textId="77777777" w:rsidTr="009C0D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C386D6C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52221D0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19781D74" w14:textId="77777777" w:rsidR="004E2E3E" w:rsidRPr="00C76BFE" w:rsidRDefault="004E2E3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March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21 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– </w:t>
            </w:r>
          </w:p>
          <w:p w14:paraId="5BCAAC30" w14:textId="300EB7DE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March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>25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76BCDC31" w14:textId="6E2EA90E" w:rsidR="004E2E3E" w:rsidRPr="007604E8" w:rsidRDefault="004E2E3E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13</w:t>
            </w:r>
          </w:p>
          <w:p w14:paraId="093C931E" w14:textId="0F186890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of the Sales and Collection Cycle: Tests of Controls and Substantive Tests of Transactions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3E4AC07" w14:textId="5D20C966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1,2 &amp;3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C06F157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26A88959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A9D81A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6D58ECA2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54A9BE5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4B5638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7375465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0AD8D6C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165571F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1D171CD6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ABA04DA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4D4ACB8A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4630AD7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4FD2214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2E115905" w14:textId="77777777" w:rsidR="004E2E3E" w:rsidRPr="00C76BFE" w:rsidRDefault="004E2E3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790A74"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March </w:t>
            </w:r>
            <w:r>
              <w:rPr>
                <w:rFonts w:ascii="Times New Roman" w:eastAsia="Calibri" w:hAnsi="Times New Roman" w:cs="Times New Roman"/>
                <w:color w:val="000000"/>
                <w:lang w:bidi="ar-BH"/>
              </w:rPr>
              <w:t xml:space="preserve">28 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– </w:t>
            </w:r>
          </w:p>
          <w:p w14:paraId="16A3D6CA" w14:textId="6A90E31D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1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1B71AFE2" w14:textId="77777777" w:rsidR="00A91A76" w:rsidRDefault="00A91A76" w:rsidP="004E2E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5601A85" w14:textId="77777777" w:rsidR="00A91A76" w:rsidRPr="007604E8" w:rsidRDefault="00A91A76" w:rsidP="00A91A7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15</w:t>
            </w:r>
          </w:p>
          <w:p w14:paraId="73CC081C" w14:textId="02E6665E" w:rsidR="00A91A76" w:rsidRDefault="00A91A76" w:rsidP="00A91A7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</w:rPr>
              <w:t>Completing the Tests in the Sales and Collection Cycle: Accounts Receivable</w:t>
            </w:r>
          </w:p>
          <w:p w14:paraId="2673C074" w14:textId="77777777" w:rsidR="004E2E3E" w:rsidRPr="007604E8" w:rsidRDefault="004E2E3E" w:rsidP="00A91A7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41AAD70A" w14:textId="4EF61395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1,2 &amp;3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7CC02CD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52087D9D" w14:textId="77777777" w:rsidR="004E2E3E" w:rsidRPr="007604E8" w:rsidRDefault="004E2E3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C7C7DA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4E2E3E" w:rsidRPr="007604E8" w14:paraId="65C9BFF4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B418D5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F295DF8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7106F4F1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2EFB983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943156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31ACA916" w14:textId="77777777" w:rsidR="004E2E3E" w:rsidRPr="007604E8" w:rsidRDefault="004E2E3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7DF8A4E" w14:textId="77777777" w:rsidR="004E2E3E" w:rsidRPr="007604E8" w:rsidRDefault="004E2E3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9F2818" w:rsidRPr="007604E8" w14:paraId="25197DC3" w14:textId="77777777" w:rsidTr="00020FD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FFFFFF" w:themeFill="background1"/>
            <w:vAlign w:val="center"/>
          </w:tcPr>
          <w:p w14:paraId="496F42B3" w14:textId="77777777" w:rsidR="009F2818" w:rsidRPr="007604E8" w:rsidRDefault="009F2818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shd w:val="clear" w:color="auto" w:fill="FFFFFF" w:themeFill="background1"/>
            <w:vAlign w:val="center"/>
          </w:tcPr>
          <w:p w14:paraId="02CE439F" w14:textId="77777777" w:rsidR="009F2818" w:rsidRPr="007604E8" w:rsidRDefault="009F2818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  <w:p w14:paraId="3E04E5A8" w14:textId="77777777" w:rsidR="009F2818" w:rsidRPr="00C76BFE" w:rsidRDefault="009F2818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bidi="ar-BH"/>
              </w:rPr>
              <w:t>4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–</w:t>
            </w:r>
          </w:p>
          <w:p w14:paraId="4C5EB780" w14:textId="5CEB2F08" w:rsidR="009F2818" w:rsidRPr="007604E8" w:rsidRDefault="009F2818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8</w:t>
            </w:r>
          </w:p>
        </w:tc>
        <w:tc>
          <w:tcPr>
            <w:tcW w:w="1590" w:type="pct"/>
            <w:shd w:val="clear" w:color="auto" w:fill="FFFFFF" w:themeFill="background1"/>
          </w:tcPr>
          <w:p w14:paraId="6F2532A3" w14:textId="77777777" w:rsidR="009F2818" w:rsidRPr="007604E8" w:rsidRDefault="009F2818" w:rsidP="00A91A7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Mid-Semester Break </w:t>
            </w:r>
          </w:p>
          <w:p w14:paraId="68B2879C" w14:textId="47313BC9" w:rsidR="009F2818" w:rsidRPr="007604E8" w:rsidRDefault="009F2818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shd w:val="clear" w:color="auto" w:fill="FFFFFF" w:themeFill="background1"/>
            <w:vAlign w:val="center"/>
          </w:tcPr>
          <w:p w14:paraId="24094AE8" w14:textId="01597AD6" w:rsidR="009F2818" w:rsidRPr="007604E8" w:rsidRDefault="009F2818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38B7AF4" w14:textId="77777777" w:rsidR="009F2818" w:rsidRPr="007604E8" w:rsidRDefault="009F2818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68F89FDB" w14:textId="0A60D9CE" w:rsidR="009F2818" w:rsidRPr="007604E8" w:rsidRDefault="009F2818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>
              <w:rPr>
                <w:rFonts w:ascii="Times New Roman" w:hAnsi="Times New Roman" w:cs="Times New Roman"/>
                <w:i/>
                <w:iCs/>
                <w:lang w:bidi="ar-BH"/>
              </w:rPr>
              <w:t>Final Exam</w:t>
            </w:r>
          </w:p>
        </w:tc>
      </w:tr>
      <w:tr w:rsidR="00C5439E" w:rsidRPr="007604E8" w14:paraId="62A52F02" w14:textId="77777777" w:rsidTr="0013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DFA5637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45781DF2" w14:textId="77777777" w:rsidR="00C5439E" w:rsidRPr="00C76BFE" w:rsidRDefault="00C5439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bidi="ar-BH"/>
              </w:rPr>
              <w:t>11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–</w:t>
            </w:r>
          </w:p>
          <w:p w14:paraId="67CA548B" w14:textId="2C21B72A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15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0F6FEED9" w14:textId="231E5BB0" w:rsidR="00C5439E" w:rsidRPr="007604E8" w:rsidRDefault="00C5439E" w:rsidP="004E2E3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15</w:t>
            </w:r>
          </w:p>
          <w:p w14:paraId="581A4D29" w14:textId="5EB024BC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Completing the Tests in the Sales and Collection Cycle: Accounts Receivable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40EF09F" w14:textId="571A8460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3&amp;4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E877E74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4C31A541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79D8FDF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09E5352E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C45E6AC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0AF1D3E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29019550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C9E3F9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F0AD159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283B8CFE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F9CB555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32240A9A" w14:textId="77777777" w:rsidTr="00913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6094720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247C8F77" w14:textId="77777777" w:rsidR="00C5439E" w:rsidRPr="00C76BFE" w:rsidRDefault="00C5439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bidi="ar-BH"/>
              </w:rPr>
              <w:t>18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–</w:t>
            </w:r>
          </w:p>
          <w:p w14:paraId="5CFA89F0" w14:textId="59988D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22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57F3ACD2" w14:textId="1C1ACAFE" w:rsidR="00C5439E" w:rsidRPr="007604E8" w:rsidRDefault="00C5439E" w:rsidP="004E2E3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20</w:t>
            </w:r>
          </w:p>
          <w:p w14:paraId="128AAB02" w14:textId="4AEA2560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of Inventory and Warehousing Cycle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CCF3800" w14:textId="4A02DFAD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3&amp;4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D0E3FC9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64A454C1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F545A97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3423A4C7" w14:textId="77777777" w:rsidTr="00913EE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42CCB0F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576B9A4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16BCB574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6089D3B1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6B1F6FD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228B221E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EA89331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12D94DDE" w14:textId="77777777" w:rsidTr="00913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BB7952E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lastRenderedPageBreak/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4C77E1C6" w14:textId="77777777" w:rsidR="00C5439E" w:rsidRPr="00C76BFE" w:rsidRDefault="00C5439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bidi="ar-BH"/>
              </w:rPr>
              <w:t>25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 –</w:t>
            </w:r>
          </w:p>
          <w:p w14:paraId="3CE2DA61" w14:textId="2E1D5713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A83706">
              <w:rPr>
                <w:rFonts w:asciiTheme="majorBidi" w:hAnsiTheme="majorBidi" w:cstheme="majorBidi"/>
                <w:noProof/>
                <w:color w:val="000000" w:themeColor="text1"/>
              </w:rPr>
              <w:t>April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29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57B3CD81" w14:textId="13A8A912" w:rsidR="00C5439E" w:rsidRPr="007604E8" w:rsidRDefault="00C5439E" w:rsidP="004E2E3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20</w:t>
            </w:r>
          </w:p>
          <w:p w14:paraId="65E09ED1" w14:textId="486ADF2C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of Inventory and Warehousing Cycle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539A11F" w14:textId="71FDBEAB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  <w:lang w:bidi="ar-BH"/>
              </w:rPr>
              <w:t>3&amp;4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45CE9C6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3EE7235D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4447F6D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49C5275E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E1BF9E6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524EB349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040E358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445E690E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B815508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74F11FDD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6160630F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3EC49C7D" w14:textId="77777777" w:rsidTr="00FC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58D0C40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36A24E31" w14:textId="77777777" w:rsidR="00C5439E" w:rsidRPr="00C76BFE" w:rsidRDefault="00C5439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2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– </w:t>
            </w:r>
          </w:p>
          <w:p w14:paraId="7F1BBB7A" w14:textId="0B9E82EC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6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50E99A8F" w14:textId="1B0AE387" w:rsidR="00C5439E" w:rsidRPr="007604E8" w:rsidRDefault="00C5439E" w:rsidP="004E2E3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24</w:t>
            </w:r>
          </w:p>
          <w:p w14:paraId="65F43B6B" w14:textId="0BC783B8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Reports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</w:tcPr>
          <w:p w14:paraId="65985AB3" w14:textId="15921543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 xml:space="preserve">1,2, 3&amp; 4 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BA7D060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20DC7546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48BB5A7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2FBAB7E0" w14:textId="77777777" w:rsidTr="00FC13A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586D3E96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206D801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0B99A490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</w:tcPr>
          <w:p w14:paraId="204AE814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FF1BCC2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74B610D8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7B1168C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1F1A996D" w14:textId="77777777" w:rsidTr="00FC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17B43291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B115865" w14:textId="77777777" w:rsidR="00C5439E" w:rsidRPr="00C76BFE" w:rsidRDefault="00C5439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9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– </w:t>
            </w:r>
          </w:p>
          <w:p w14:paraId="77049F44" w14:textId="4379118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13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73E56DCA" w14:textId="0014DCE0" w:rsidR="00C5439E" w:rsidRPr="007604E8" w:rsidRDefault="00C5439E" w:rsidP="004E2E3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24</w:t>
            </w:r>
          </w:p>
          <w:p w14:paraId="075EF58F" w14:textId="3B6A253D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Reports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</w:tcPr>
          <w:p w14:paraId="60FF1A2E" w14:textId="20465C0C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 xml:space="preserve">1,2, 3&amp; 4 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7E315B3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359C4F7F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8A28D7C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5F45CA17" w14:textId="77777777" w:rsidTr="009C458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2EC6D61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332CE6CC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5C9F01AA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B0FC3A1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DC448D8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06D0CE69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38B3A3C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3DD445A5" w14:textId="77777777" w:rsidTr="009C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056A3E6E" w14:textId="476CB34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6A24508" w14:textId="77777777" w:rsidR="00C5439E" w:rsidRPr="00C76BFE" w:rsidRDefault="00C5439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16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– </w:t>
            </w:r>
          </w:p>
          <w:p w14:paraId="57E9A241" w14:textId="6A3F075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20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18DA7C12" w14:textId="722360E9" w:rsidR="00C5439E" w:rsidRPr="007604E8" w:rsidRDefault="00C5439E" w:rsidP="004E2E3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24</w:t>
            </w:r>
          </w:p>
          <w:p w14:paraId="39027C78" w14:textId="5249CA9F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Reports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1281E7EC" w14:textId="554AC2FB" w:rsidR="00C5439E" w:rsidRPr="007604E8" w:rsidRDefault="00C5439E" w:rsidP="004E2E3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sz w:val="22"/>
                <w:szCs w:val="22"/>
              </w:rPr>
              <w:t xml:space="preserve">1,2, 3&amp; 4 </w:t>
            </w:r>
          </w:p>
          <w:p w14:paraId="2F6DCDCE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E2B77FD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227D12E2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334A20AC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04547AFC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CEA301D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F4473D9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01CFEDC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36A0C27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4A6DF95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1-hour lecture</w:t>
            </w:r>
          </w:p>
          <w:p w14:paraId="1660D98F" w14:textId="77777777" w:rsidR="00C5439E" w:rsidRPr="007604E8" w:rsidRDefault="00C5439E" w:rsidP="004E2E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C870EEE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3721752B" w14:textId="77777777" w:rsidTr="00AB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83E23C0" w14:textId="235CA0F2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  <w:r>
              <w:rPr>
                <w:rFonts w:ascii="Times New Roman" w:hAnsi="Times New Roman" w:cs="Times New Roman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0F0980BB" w14:textId="77777777" w:rsidR="00C5439E" w:rsidRPr="00C76BFE" w:rsidRDefault="00C5439E" w:rsidP="004E2E3E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23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 w:rsidRPr="00C76BFE">
              <w:rPr>
                <w:rFonts w:asciiTheme="majorBidi" w:hAnsiTheme="majorBidi" w:cstheme="majorBidi"/>
                <w:color w:val="000000" w:themeColor="text1"/>
                <w:lang w:bidi="ar-BH"/>
              </w:rPr>
              <w:t xml:space="preserve">– </w:t>
            </w:r>
          </w:p>
          <w:p w14:paraId="7A9C3D87" w14:textId="77777777" w:rsidR="00C5439E" w:rsidRPr="00050A8F" w:rsidRDefault="00C5439E" w:rsidP="004E2E3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D9452C">
              <w:rPr>
                <w:rFonts w:asciiTheme="majorBidi" w:hAnsiTheme="majorBidi" w:cstheme="majorBidi"/>
                <w:noProof/>
                <w:color w:val="000000" w:themeColor="text1"/>
              </w:rPr>
              <w:t>May</w:t>
            </w:r>
            <w:r w:rsidRPr="00C76BF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27</w:t>
            </w:r>
          </w:p>
          <w:p w14:paraId="72EE4833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34391409" w14:textId="77777777" w:rsidR="00C5439E" w:rsidRPr="007604E8" w:rsidRDefault="00C5439E" w:rsidP="004E2E3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Chapter 24</w:t>
            </w:r>
          </w:p>
          <w:p w14:paraId="3A54C95C" w14:textId="0CC25E16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</w:rPr>
              <w:t>Audit Reports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17A02A0B" w14:textId="77777777" w:rsidR="00C5439E" w:rsidRPr="007604E8" w:rsidRDefault="00C5439E" w:rsidP="004E2E3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E8">
              <w:rPr>
                <w:rFonts w:ascii="Times New Roman" w:hAnsi="Times New Roman" w:cs="Times New Roman"/>
                <w:sz w:val="22"/>
                <w:szCs w:val="22"/>
              </w:rPr>
              <w:t xml:space="preserve">1,2, 3&amp; 4 </w:t>
            </w:r>
          </w:p>
          <w:p w14:paraId="61BD9993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FEB42E7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i/>
                <w:iCs/>
                <w:lang w:bidi="ar-BH"/>
              </w:rPr>
              <w:t>2-hour lecture:</w:t>
            </w:r>
          </w:p>
          <w:p w14:paraId="41B97D5C" w14:textId="77777777" w:rsidR="00C5439E" w:rsidRPr="007604E8" w:rsidRDefault="00C5439E" w:rsidP="004E2E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40B0DEA" w14:textId="77777777" w:rsidR="00C5439E" w:rsidRPr="007604E8" w:rsidRDefault="00C5439E" w:rsidP="004E2E3E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  <w:tr w:rsidR="00C5439E" w:rsidRPr="007604E8" w14:paraId="439CC21D" w14:textId="77777777" w:rsidTr="004F67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998BE14" w14:textId="77777777" w:rsidR="00C5439E" w:rsidRPr="007604E8" w:rsidRDefault="00C5439E" w:rsidP="008E5357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3C0B55F" w14:textId="77777777" w:rsidR="00C5439E" w:rsidRPr="007604E8" w:rsidRDefault="00C5439E" w:rsidP="008E5357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2FAC883" w14:textId="77777777" w:rsidR="00C5439E" w:rsidRPr="007604E8" w:rsidRDefault="00C5439E" w:rsidP="008E5357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49EB42F9" w14:textId="77777777" w:rsidR="00C5439E" w:rsidRPr="007604E8" w:rsidRDefault="00C5439E" w:rsidP="008E5357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F7278CD" w14:textId="77777777" w:rsidR="00C5439E" w:rsidRPr="007604E8" w:rsidRDefault="00C5439E" w:rsidP="008E5357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bidi="ar-BH"/>
              </w:rPr>
            </w:pPr>
            <w:r w:rsidRPr="007604E8">
              <w:rPr>
                <w:rFonts w:ascii="Times New Roman" w:hAnsi="Times New Roman" w:cs="Times New Roman"/>
                <w:b w:val="0"/>
                <w:bCs w:val="0"/>
                <w:i/>
                <w:iCs/>
                <w:lang w:bidi="ar-BH"/>
              </w:rPr>
              <w:t>1-hour lecture</w:t>
            </w:r>
          </w:p>
          <w:p w14:paraId="61752E2F" w14:textId="77777777" w:rsidR="00C5439E" w:rsidRPr="007604E8" w:rsidRDefault="00C5439E" w:rsidP="008E5357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6779B835" w14:textId="77777777" w:rsidR="00C5439E" w:rsidRPr="007604E8" w:rsidRDefault="00C5439E" w:rsidP="008E5357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lang w:bidi="ar-BH"/>
              </w:rPr>
            </w:pPr>
          </w:p>
        </w:tc>
      </w:tr>
    </w:tbl>
    <w:p w14:paraId="55A6468C" w14:textId="77777777" w:rsidR="002352D4" w:rsidRPr="007604E8" w:rsidRDefault="002352D4" w:rsidP="002352D4">
      <w:pPr>
        <w:bidi w:val="0"/>
        <w:rPr>
          <w:rFonts w:ascii="Times New Roman" w:hAnsi="Times New Roman" w:cs="Times New Roman"/>
          <w:b/>
          <w:bCs/>
        </w:rPr>
      </w:pPr>
    </w:p>
    <w:p w14:paraId="66ED404C" w14:textId="77777777" w:rsidR="00257E47" w:rsidRPr="007604E8" w:rsidRDefault="00257E47" w:rsidP="002352D4">
      <w:pPr>
        <w:bidi w:val="0"/>
        <w:rPr>
          <w:rFonts w:ascii="Times New Roman" w:hAnsi="Times New Roman" w:cs="Times New Roman"/>
        </w:rPr>
      </w:pPr>
    </w:p>
    <w:sectPr w:rsidR="00257E47" w:rsidRPr="007604E8" w:rsidSect="009D128C">
      <w:footerReference w:type="default" r:id="rId12"/>
      <w:headerReference w:type="first" r:id="rId13"/>
      <w:footerReference w:type="first" r:id="rId14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F942" w14:textId="77777777" w:rsidR="0009085A" w:rsidRDefault="0009085A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52B6652" w14:textId="77777777" w:rsidR="0009085A" w:rsidRDefault="0009085A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</w:t>
          </w:r>
          <w:proofErr w:type="gramStart"/>
          <w:r w:rsidRPr="00CF4A2F">
            <w:rPr>
              <w:sz w:val="20"/>
              <w:szCs w:val="20"/>
              <w:lang w:bidi="ar-BH"/>
            </w:rPr>
            <w:t xml:space="preserve">-  </w:t>
          </w:r>
          <w:r w:rsidR="00C35DCD">
            <w:rPr>
              <w:sz w:val="20"/>
              <w:szCs w:val="20"/>
              <w:lang w:bidi="ar-BH"/>
            </w:rPr>
            <w:t>Course</w:t>
          </w:r>
          <w:proofErr w:type="gramEnd"/>
          <w:r w:rsidR="00C35DCD">
            <w:rPr>
              <w:sz w:val="20"/>
              <w:szCs w:val="20"/>
              <w:lang w:bidi="ar-BH"/>
            </w:rPr>
            <w:t xml:space="preserve">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>-  Course</w:t>
          </w:r>
          <w:proofErr w:type="gramEnd"/>
          <w:r w:rsidRPr="00CF4A2F">
            <w:rPr>
              <w:sz w:val="20"/>
              <w:szCs w:val="20"/>
              <w:lang w:bidi="ar-BH"/>
            </w:rPr>
            <w:t xml:space="preserve">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256D" w14:textId="77777777" w:rsidR="0009085A" w:rsidRDefault="0009085A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7092613" w14:textId="77777777" w:rsidR="0009085A" w:rsidRDefault="0009085A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12849"/>
    <w:rsid w:val="0001680F"/>
    <w:rsid w:val="00032598"/>
    <w:rsid w:val="00034F61"/>
    <w:rsid w:val="00037AF7"/>
    <w:rsid w:val="00043B71"/>
    <w:rsid w:val="00050A8F"/>
    <w:rsid w:val="00082FF5"/>
    <w:rsid w:val="000907D7"/>
    <w:rsid w:val="0009085A"/>
    <w:rsid w:val="000A4250"/>
    <w:rsid w:val="000A5DE3"/>
    <w:rsid w:val="000A6F74"/>
    <w:rsid w:val="000C0AF3"/>
    <w:rsid w:val="000C641C"/>
    <w:rsid w:val="000E210A"/>
    <w:rsid w:val="000E412F"/>
    <w:rsid w:val="00101DA6"/>
    <w:rsid w:val="00111A83"/>
    <w:rsid w:val="00115BFF"/>
    <w:rsid w:val="00130ED6"/>
    <w:rsid w:val="00155ACF"/>
    <w:rsid w:val="00162CF8"/>
    <w:rsid w:val="00170939"/>
    <w:rsid w:val="00174BCC"/>
    <w:rsid w:val="001A34ED"/>
    <w:rsid w:val="001A4E23"/>
    <w:rsid w:val="001C1C9C"/>
    <w:rsid w:val="001C4FD9"/>
    <w:rsid w:val="001D342E"/>
    <w:rsid w:val="001E428D"/>
    <w:rsid w:val="00234426"/>
    <w:rsid w:val="002352D4"/>
    <w:rsid w:val="00240D63"/>
    <w:rsid w:val="00257E47"/>
    <w:rsid w:val="00261F6A"/>
    <w:rsid w:val="002A3A40"/>
    <w:rsid w:val="002A5641"/>
    <w:rsid w:val="002F2888"/>
    <w:rsid w:val="002F4EE9"/>
    <w:rsid w:val="0030719A"/>
    <w:rsid w:val="00316A65"/>
    <w:rsid w:val="00327372"/>
    <w:rsid w:val="00337B04"/>
    <w:rsid w:val="003446C7"/>
    <w:rsid w:val="003459E6"/>
    <w:rsid w:val="00371A2D"/>
    <w:rsid w:val="003A6BA5"/>
    <w:rsid w:val="003D2993"/>
    <w:rsid w:val="003D5F75"/>
    <w:rsid w:val="003E7318"/>
    <w:rsid w:val="00436D18"/>
    <w:rsid w:val="00442863"/>
    <w:rsid w:val="0046249F"/>
    <w:rsid w:val="00462DF9"/>
    <w:rsid w:val="0047212A"/>
    <w:rsid w:val="00480E12"/>
    <w:rsid w:val="004B0E40"/>
    <w:rsid w:val="004C250C"/>
    <w:rsid w:val="004C48D7"/>
    <w:rsid w:val="004D7A63"/>
    <w:rsid w:val="004E2E3E"/>
    <w:rsid w:val="004F6749"/>
    <w:rsid w:val="0051452A"/>
    <w:rsid w:val="00517603"/>
    <w:rsid w:val="0052567F"/>
    <w:rsid w:val="005323F0"/>
    <w:rsid w:val="00532D0F"/>
    <w:rsid w:val="00563AD9"/>
    <w:rsid w:val="00565E74"/>
    <w:rsid w:val="005702F1"/>
    <w:rsid w:val="005842CE"/>
    <w:rsid w:val="005A2056"/>
    <w:rsid w:val="005C0E3F"/>
    <w:rsid w:val="005D1049"/>
    <w:rsid w:val="005F7C18"/>
    <w:rsid w:val="005F7CAF"/>
    <w:rsid w:val="0060700C"/>
    <w:rsid w:val="00617739"/>
    <w:rsid w:val="00620F9F"/>
    <w:rsid w:val="00633456"/>
    <w:rsid w:val="00650E80"/>
    <w:rsid w:val="00653862"/>
    <w:rsid w:val="00685177"/>
    <w:rsid w:val="00692C3D"/>
    <w:rsid w:val="006B0FE0"/>
    <w:rsid w:val="0070008A"/>
    <w:rsid w:val="00711B83"/>
    <w:rsid w:val="00731A44"/>
    <w:rsid w:val="0074011C"/>
    <w:rsid w:val="00740FC6"/>
    <w:rsid w:val="007604E8"/>
    <w:rsid w:val="007646A6"/>
    <w:rsid w:val="00770A63"/>
    <w:rsid w:val="00797AEA"/>
    <w:rsid w:val="007B1F5F"/>
    <w:rsid w:val="007E58E6"/>
    <w:rsid w:val="0084558C"/>
    <w:rsid w:val="00845B90"/>
    <w:rsid w:val="00861242"/>
    <w:rsid w:val="008655C9"/>
    <w:rsid w:val="008B5CA9"/>
    <w:rsid w:val="008D60A3"/>
    <w:rsid w:val="008E5357"/>
    <w:rsid w:val="008F7923"/>
    <w:rsid w:val="009043BF"/>
    <w:rsid w:val="00960124"/>
    <w:rsid w:val="00975C62"/>
    <w:rsid w:val="00977EE0"/>
    <w:rsid w:val="00992EAE"/>
    <w:rsid w:val="009C12DA"/>
    <w:rsid w:val="009C36DA"/>
    <w:rsid w:val="009D128C"/>
    <w:rsid w:val="009F25B2"/>
    <w:rsid w:val="009F2818"/>
    <w:rsid w:val="00A060D3"/>
    <w:rsid w:val="00A30DD4"/>
    <w:rsid w:val="00A4541A"/>
    <w:rsid w:val="00A54452"/>
    <w:rsid w:val="00A57F82"/>
    <w:rsid w:val="00A91A76"/>
    <w:rsid w:val="00A934D0"/>
    <w:rsid w:val="00AC5E9F"/>
    <w:rsid w:val="00AF40B6"/>
    <w:rsid w:val="00AF6B28"/>
    <w:rsid w:val="00B02959"/>
    <w:rsid w:val="00B2527F"/>
    <w:rsid w:val="00B36F32"/>
    <w:rsid w:val="00B434AA"/>
    <w:rsid w:val="00B851FA"/>
    <w:rsid w:val="00B92DE3"/>
    <w:rsid w:val="00B953F3"/>
    <w:rsid w:val="00BB28E9"/>
    <w:rsid w:val="00BD5A65"/>
    <w:rsid w:val="00BF673B"/>
    <w:rsid w:val="00C01879"/>
    <w:rsid w:val="00C20903"/>
    <w:rsid w:val="00C20B6E"/>
    <w:rsid w:val="00C2558D"/>
    <w:rsid w:val="00C25CE9"/>
    <w:rsid w:val="00C31AB2"/>
    <w:rsid w:val="00C35DCD"/>
    <w:rsid w:val="00C42606"/>
    <w:rsid w:val="00C4289A"/>
    <w:rsid w:val="00C5439E"/>
    <w:rsid w:val="00C66DF6"/>
    <w:rsid w:val="00C772A6"/>
    <w:rsid w:val="00C9087E"/>
    <w:rsid w:val="00C9723B"/>
    <w:rsid w:val="00C97FE3"/>
    <w:rsid w:val="00CE3C25"/>
    <w:rsid w:val="00CF4A2F"/>
    <w:rsid w:val="00D10262"/>
    <w:rsid w:val="00D24F76"/>
    <w:rsid w:val="00DB1E21"/>
    <w:rsid w:val="00DC5FAF"/>
    <w:rsid w:val="00DC61BB"/>
    <w:rsid w:val="00DE6621"/>
    <w:rsid w:val="00DF5F97"/>
    <w:rsid w:val="00E067DD"/>
    <w:rsid w:val="00E10E3B"/>
    <w:rsid w:val="00E14BCE"/>
    <w:rsid w:val="00E1699B"/>
    <w:rsid w:val="00E2408B"/>
    <w:rsid w:val="00E60B3B"/>
    <w:rsid w:val="00E63427"/>
    <w:rsid w:val="00E825A1"/>
    <w:rsid w:val="00EA5C8E"/>
    <w:rsid w:val="00EB4330"/>
    <w:rsid w:val="00EC3750"/>
    <w:rsid w:val="00EF1D9A"/>
    <w:rsid w:val="00F36021"/>
    <w:rsid w:val="00F40168"/>
    <w:rsid w:val="00F838C4"/>
    <w:rsid w:val="00FC7083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paragraph" w:customStyle="1" w:styleId="Default">
    <w:name w:val="Default"/>
    <w:rsid w:val="00B95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-knowledge.net/uobv3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Gehan Abdul Hadi Mousa Mohamed</cp:lastModifiedBy>
  <cp:revision>40</cp:revision>
  <cp:lastPrinted>2009-09-29T08:42:00Z</cp:lastPrinted>
  <dcterms:created xsi:type="dcterms:W3CDTF">2021-01-27T17:50:00Z</dcterms:created>
  <dcterms:modified xsi:type="dcterms:W3CDTF">2021-02-06T15:39:00Z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